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5BB" w:rsidRPr="009025BB" w:rsidRDefault="009025BB" w:rsidP="009025BB">
      <w:pPr>
        <w:spacing w:line="240" w:lineRule="auto"/>
        <w:jc w:val="center"/>
        <w:rPr>
          <w:rFonts w:ascii="Arial" w:eastAsia="Times New Roman" w:hAnsi="Arial" w:cs="Arial"/>
          <w:sz w:val="18"/>
          <w:szCs w:val="18"/>
          <w:lang w:eastAsia="es-CO"/>
        </w:rPr>
      </w:pPr>
      <w:r w:rsidRPr="009025BB">
        <w:rPr>
          <w:rFonts w:ascii="Segoe UI" w:eastAsia="Times New Roman" w:hAnsi="Segoe UI" w:cs="Segoe UI"/>
          <w:b/>
          <w:bCs/>
          <w:sz w:val="28"/>
          <w:szCs w:val="28"/>
          <w:lang w:eastAsia="es-CO"/>
        </w:rPr>
        <w:t>DECRETO N° 214</w:t>
      </w:r>
    </w:p>
    <w:p w:rsidR="009025BB" w:rsidRPr="009025BB" w:rsidRDefault="009025BB" w:rsidP="009025BB">
      <w:pPr>
        <w:spacing w:line="240" w:lineRule="auto"/>
        <w:jc w:val="center"/>
        <w:rPr>
          <w:rFonts w:ascii="Arial" w:eastAsia="Times New Roman" w:hAnsi="Arial" w:cs="Arial"/>
          <w:sz w:val="18"/>
          <w:szCs w:val="18"/>
          <w:lang w:eastAsia="es-CO"/>
        </w:rPr>
      </w:pPr>
      <w:r w:rsidRPr="009025BB">
        <w:rPr>
          <w:rFonts w:ascii="Segoe UI" w:eastAsia="Times New Roman" w:hAnsi="Segoe UI" w:cs="Segoe UI"/>
          <w:b/>
          <w:bCs/>
          <w:sz w:val="28"/>
          <w:szCs w:val="28"/>
          <w:lang w:eastAsia="es-CO"/>
        </w:rPr>
        <w:t>10-02-2014</w:t>
      </w:r>
    </w:p>
    <w:p w:rsidR="009025BB" w:rsidRPr="009025BB" w:rsidRDefault="009025BB" w:rsidP="009025BB">
      <w:pPr>
        <w:spacing w:line="240" w:lineRule="auto"/>
        <w:jc w:val="center"/>
        <w:rPr>
          <w:rFonts w:ascii="Arial" w:eastAsia="Times New Roman" w:hAnsi="Arial" w:cs="Arial"/>
          <w:sz w:val="18"/>
          <w:szCs w:val="18"/>
          <w:lang w:eastAsia="es-CO"/>
        </w:rPr>
      </w:pPr>
      <w:r w:rsidRPr="009025BB">
        <w:rPr>
          <w:rFonts w:ascii="Segoe UI" w:eastAsia="Times New Roman" w:hAnsi="Segoe UI" w:cs="Segoe UI"/>
          <w:b/>
          <w:bCs/>
          <w:sz w:val="28"/>
          <w:szCs w:val="28"/>
          <w:lang w:eastAsia="es-CO"/>
        </w:rPr>
        <w:t>MINISTERIO DE HACIENDA Y CRÉDITO PÚBLICO</w:t>
      </w:r>
    </w:p>
    <w:p w:rsidR="009025BB" w:rsidRPr="009025BB" w:rsidRDefault="009025BB" w:rsidP="009025BB">
      <w:pPr>
        <w:spacing w:line="240" w:lineRule="auto"/>
        <w:jc w:val="center"/>
        <w:rPr>
          <w:rFonts w:ascii="Arial" w:eastAsia="Times New Roman" w:hAnsi="Arial" w:cs="Arial"/>
          <w:sz w:val="18"/>
          <w:szCs w:val="18"/>
          <w:lang w:eastAsia="es-CO"/>
        </w:rPr>
      </w:pPr>
      <w:r w:rsidRPr="009025BB">
        <w:rPr>
          <w:rFonts w:ascii="Segoe UI" w:eastAsia="Times New Roman" w:hAnsi="Segoe UI" w:cs="Segoe UI"/>
          <w:b/>
          <w:bCs/>
          <w:i/>
          <w:iCs/>
          <w:sz w:val="18"/>
          <w:szCs w:val="18"/>
          <w:lang w:eastAsia="es-CO"/>
        </w:rPr>
        <w:t> </w:t>
      </w:r>
    </w:p>
    <w:p w:rsidR="009025BB" w:rsidRPr="009025BB" w:rsidRDefault="009025BB" w:rsidP="009025BB">
      <w:pPr>
        <w:spacing w:line="240" w:lineRule="auto"/>
        <w:jc w:val="center"/>
        <w:rPr>
          <w:rFonts w:ascii="Arial" w:eastAsia="Times New Roman" w:hAnsi="Arial" w:cs="Arial"/>
          <w:sz w:val="18"/>
          <w:szCs w:val="18"/>
          <w:lang w:eastAsia="es-CO"/>
        </w:rPr>
      </w:pPr>
      <w:r w:rsidRPr="009025BB">
        <w:rPr>
          <w:rFonts w:ascii="Segoe UI" w:eastAsia="Times New Roman" w:hAnsi="Segoe UI" w:cs="Segoe UI"/>
          <w:b/>
          <w:bCs/>
          <w:i/>
          <w:iCs/>
          <w:sz w:val="18"/>
          <w:szCs w:val="18"/>
          <w:lang w:eastAsia="es-CO"/>
        </w:rPr>
        <w:t> </w:t>
      </w:r>
    </w:p>
    <w:p w:rsidR="009025BB" w:rsidRPr="009025BB" w:rsidRDefault="009025BB" w:rsidP="009025BB">
      <w:pPr>
        <w:spacing w:line="240" w:lineRule="auto"/>
        <w:jc w:val="center"/>
        <w:rPr>
          <w:rFonts w:ascii="Arial" w:eastAsia="Times New Roman" w:hAnsi="Arial" w:cs="Arial"/>
          <w:sz w:val="18"/>
          <w:szCs w:val="18"/>
          <w:lang w:eastAsia="es-CO"/>
        </w:rPr>
      </w:pPr>
      <w:proofErr w:type="gramStart"/>
      <w:r w:rsidRPr="009025BB">
        <w:rPr>
          <w:rFonts w:ascii="Segoe UI" w:eastAsia="Times New Roman" w:hAnsi="Segoe UI" w:cs="Segoe UI"/>
          <w:i/>
          <w:iCs/>
          <w:sz w:val="18"/>
          <w:szCs w:val="18"/>
          <w:lang w:eastAsia="es-CO"/>
        </w:rPr>
        <w:t>por</w:t>
      </w:r>
      <w:proofErr w:type="gramEnd"/>
      <w:r w:rsidRPr="009025BB">
        <w:rPr>
          <w:rFonts w:ascii="Segoe UI" w:eastAsia="Times New Roman" w:hAnsi="Segoe UI" w:cs="Segoe UI"/>
          <w:i/>
          <w:iCs/>
          <w:sz w:val="18"/>
          <w:szCs w:val="18"/>
          <w:lang w:eastAsia="es-CO"/>
        </w:rPr>
        <w:t xml:space="preserve"> el cual se modifica el Decreto número 2972 de 2013.</w:t>
      </w:r>
    </w:p>
    <w:p w:rsidR="009025BB" w:rsidRPr="009025BB" w:rsidRDefault="009025BB" w:rsidP="009025BB">
      <w:pPr>
        <w:spacing w:line="240" w:lineRule="auto"/>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rPr>
          <w:rFonts w:ascii="Arial" w:eastAsia="Times New Roman" w:hAnsi="Arial" w:cs="Arial"/>
          <w:sz w:val="18"/>
          <w:szCs w:val="18"/>
          <w:lang w:eastAsia="es-CO"/>
        </w:rPr>
      </w:pPr>
      <w:r w:rsidRPr="009025BB">
        <w:rPr>
          <w:rFonts w:ascii="Segoe UI" w:eastAsia="Times New Roman" w:hAnsi="Segoe UI" w:cs="Segoe UI"/>
          <w:sz w:val="18"/>
          <w:szCs w:val="18"/>
          <w:lang w:eastAsia="es-CO"/>
        </w:rPr>
        <w:t>El Presidente de la República de Colombia, en uso de sus facultades constitucionales y legales, en especial de las conferidas en los numerales 11 y 20 del artículo 189 de la Constitución Política, y</w:t>
      </w:r>
    </w:p>
    <w:p w:rsidR="009025BB" w:rsidRPr="009025BB" w:rsidRDefault="009025BB" w:rsidP="009025BB">
      <w:pPr>
        <w:spacing w:line="240" w:lineRule="auto"/>
        <w:jc w:val="center"/>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jc w:val="center"/>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jc w:val="center"/>
        <w:rPr>
          <w:rFonts w:ascii="Arial" w:eastAsia="Times New Roman" w:hAnsi="Arial" w:cs="Arial"/>
          <w:sz w:val="18"/>
          <w:szCs w:val="18"/>
          <w:lang w:eastAsia="es-CO"/>
        </w:rPr>
      </w:pPr>
      <w:r w:rsidRPr="009025BB">
        <w:rPr>
          <w:rFonts w:ascii="Segoe UI" w:eastAsia="Times New Roman" w:hAnsi="Segoe UI" w:cs="Segoe UI"/>
          <w:b/>
          <w:bCs/>
          <w:sz w:val="18"/>
          <w:szCs w:val="18"/>
          <w:lang w:eastAsia="es-CO"/>
        </w:rPr>
        <w:t>CONSIDERANDO:</w:t>
      </w:r>
    </w:p>
    <w:p w:rsidR="009025BB" w:rsidRPr="009025BB" w:rsidRDefault="009025BB" w:rsidP="009025BB">
      <w:pPr>
        <w:spacing w:line="240" w:lineRule="auto"/>
        <w:rPr>
          <w:rFonts w:ascii="Arial" w:eastAsia="Times New Roman" w:hAnsi="Arial" w:cs="Arial"/>
          <w:sz w:val="18"/>
          <w:szCs w:val="18"/>
          <w:lang w:eastAsia="es-CO"/>
        </w:rPr>
      </w:pPr>
      <w:r w:rsidRPr="009025BB">
        <w:rPr>
          <w:rFonts w:ascii="Segoe UI" w:eastAsia="Times New Roman" w:hAnsi="Segoe UI" w:cs="Segoe UI"/>
          <w:b/>
          <w:bCs/>
          <w:sz w:val="18"/>
          <w:szCs w:val="18"/>
          <w:lang w:eastAsia="es-CO"/>
        </w:rPr>
        <w:t> </w:t>
      </w:r>
    </w:p>
    <w:p w:rsidR="009025BB" w:rsidRPr="009025BB" w:rsidRDefault="009025BB" w:rsidP="009025BB">
      <w:pPr>
        <w:spacing w:line="240" w:lineRule="auto"/>
        <w:rPr>
          <w:rFonts w:ascii="Arial" w:eastAsia="Times New Roman" w:hAnsi="Arial" w:cs="Arial"/>
          <w:sz w:val="18"/>
          <w:szCs w:val="18"/>
          <w:lang w:eastAsia="es-CO"/>
        </w:rPr>
      </w:pPr>
      <w:r w:rsidRPr="009025BB">
        <w:rPr>
          <w:rFonts w:ascii="Segoe UI" w:eastAsia="Times New Roman" w:hAnsi="Segoe UI" w:cs="Segoe UI"/>
          <w:sz w:val="18"/>
          <w:szCs w:val="18"/>
          <w:lang w:eastAsia="es-CO"/>
        </w:rPr>
        <w:t>Que el Decreto número 2972 del 20 de diciembre de 2013 estableció los lugares y plazos para la presentación de las declaraciones tributarias y para el pago de los impuestos, anticipos y retenciones en la fuente para el año 2014.</w:t>
      </w:r>
    </w:p>
    <w:p w:rsidR="009025BB" w:rsidRPr="009025BB" w:rsidRDefault="009025BB" w:rsidP="009025BB">
      <w:pPr>
        <w:spacing w:line="240" w:lineRule="auto"/>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rPr>
          <w:rFonts w:ascii="Arial" w:eastAsia="Times New Roman" w:hAnsi="Arial" w:cs="Arial"/>
          <w:sz w:val="18"/>
          <w:szCs w:val="18"/>
          <w:lang w:eastAsia="es-CO"/>
        </w:rPr>
      </w:pPr>
      <w:r w:rsidRPr="009025BB">
        <w:rPr>
          <w:rFonts w:ascii="Segoe UI" w:eastAsia="Times New Roman" w:hAnsi="Segoe UI" w:cs="Segoe UI"/>
          <w:sz w:val="18"/>
          <w:szCs w:val="18"/>
          <w:lang w:eastAsia="es-CO"/>
        </w:rPr>
        <w:t>Que el artículo 100 de la Ley 1607 de 2012 modificó el </w:t>
      </w:r>
      <w:hyperlink r:id="rId5" w:tooltip="Estatuto Tributario CETA" w:history="1">
        <w:r w:rsidRPr="009025BB">
          <w:rPr>
            <w:rFonts w:ascii="Segoe UI" w:eastAsia="Times New Roman" w:hAnsi="Segoe UI" w:cs="Segoe UI"/>
            <w:sz w:val="18"/>
            <w:szCs w:val="18"/>
            <w:lang w:eastAsia="es-CO"/>
          </w:rPr>
          <w:t>artículo 562</w:t>
        </w:r>
      </w:hyperlink>
      <w:r w:rsidRPr="009025BB">
        <w:rPr>
          <w:rFonts w:ascii="Segoe UI" w:eastAsia="Times New Roman" w:hAnsi="Segoe UI" w:cs="Segoe UI"/>
          <w:sz w:val="18"/>
          <w:szCs w:val="18"/>
          <w:lang w:eastAsia="es-CO"/>
        </w:rPr>
        <w:t> del Estatuto Tributario y señaló que el Director de la Dirección de Impuestos y Aduanas Nacionales mediante resolución, establecerá los contribuyentes, responsables o agentes retenedores que deban ser calificados como Grandes Contribuyentes de acuerdo con su volumen de operaciones, ingresos, patrimonio, importancia en el recaudo y actividad económica definida para el control por el comité de programas de la Dirección de Impuestos y Aduanas Nacionales.</w:t>
      </w:r>
    </w:p>
    <w:p w:rsidR="009025BB" w:rsidRPr="009025BB" w:rsidRDefault="009025BB" w:rsidP="009025BB">
      <w:pPr>
        <w:spacing w:line="240" w:lineRule="auto"/>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rPr>
          <w:rFonts w:ascii="Arial" w:eastAsia="Times New Roman" w:hAnsi="Arial" w:cs="Arial"/>
          <w:sz w:val="18"/>
          <w:szCs w:val="18"/>
          <w:lang w:eastAsia="es-CO"/>
        </w:rPr>
      </w:pPr>
      <w:r w:rsidRPr="009025BB">
        <w:rPr>
          <w:rFonts w:ascii="Segoe UI" w:eastAsia="Times New Roman" w:hAnsi="Segoe UI" w:cs="Segoe UI"/>
          <w:sz w:val="18"/>
          <w:szCs w:val="18"/>
          <w:lang w:eastAsia="es-CO"/>
        </w:rPr>
        <w:t>Que en el artículo 11 del Decreto número 2972 de 2013 se señaló que por el año gravable 2013 deberán presentar la declaración del impuesto sobre la renta y complementarios en el formulario prescrito por la Unidad Administrativa Especial Dirección de Impuestos y Aduanas Nacionales (DIAN), las personas jurídicas o asimiladas, las entidades sin ánimo de lucro con régimen especial y demás entidades que a 31 de diciembre de 2013 hayan sido calificadas como “Grandes Contribuyentes” por la Unidad Administrativa Especial Dirección de Impuestos y Aduanas Nacionales (DIAN), de conformidad con lo dispuesto en el </w:t>
      </w:r>
      <w:hyperlink r:id="rId6" w:tooltip="Estatuto Tributario CETA" w:history="1">
        <w:r w:rsidRPr="009025BB">
          <w:rPr>
            <w:rFonts w:ascii="Segoe UI" w:eastAsia="Times New Roman" w:hAnsi="Segoe UI" w:cs="Segoe UI"/>
            <w:sz w:val="18"/>
            <w:szCs w:val="18"/>
            <w:lang w:eastAsia="es-CO"/>
          </w:rPr>
          <w:t>artículo 562</w:t>
        </w:r>
      </w:hyperlink>
      <w:r w:rsidRPr="009025BB">
        <w:rPr>
          <w:rFonts w:ascii="Segoe UI" w:eastAsia="Times New Roman" w:hAnsi="Segoe UI" w:cs="Segoe UI"/>
          <w:sz w:val="18"/>
          <w:szCs w:val="18"/>
          <w:lang w:eastAsia="es-CO"/>
        </w:rPr>
        <w:t> del Estatuto Tributario.</w:t>
      </w:r>
    </w:p>
    <w:p w:rsidR="009025BB" w:rsidRPr="009025BB" w:rsidRDefault="009025BB" w:rsidP="009025BB">
      <w:pPr>
        <w:spacing w:line="240" w:lineRule="auto"/>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rPr>
          <w:rFonts w:ascii="Arial" w:eastAsia="Times New Roman" w:hAnsi="Arial" w:cs="Arial"/>
          <w:sz w:val="18"/>
          <w:szCs w:val="18"/>
          <w:lang w:eastAsia="es-CO"/>
        </w:rPr>
      </w:pPr>
      <w:r w:rsidRPr="009025BB">
        <w:rPr>
          <w:rFonts w:ascii="Segoe UI" w:eastAsia="Times New Roman" w:hAnsi="Segoe UI" w:cs="Segoe UI"/>
          <w:sz w:val="18"/>
          <w:szCs w:val="18"/>
          <w:lang w:eastAsia="es-CO"/>
        </w:rPr>
        <w:t>Que para dar aplicación a los criterios de selección de los grandes contribuyentes, establecidos en el artículo 100 de la Ley 1607 de 2012, la Unidad Administrativa Especial Dirección de Impuestos y Aduanas Nacionales (DIAN) realizó la calificación de los grandes contribuyentes mediante la Resolución número 41 del 30 de enero de 2014 y por lo tanto es necesario modificar el artículo 11 del Decreto número 2972 de 2013.</w:t>
      </w:r>
    </w:p>
    <w:p w:rsidR="009025BB" w:rsidRPr="009025BB" w:rsidRDefault="009025BB" w:rsidP="009025BB">
      <w:pPr>
        <w:spacing w:line="240" w:lineRule="auto"/>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rPr>
          <w:rFonts w:ascii="Arial" w:eastAsia="Times New Roman" w:hAnsi="Arial" w:cs="Arial"/>
          <w:sz w:val="18"/>
          <w:szCs w:val="18"/>
          <w:lang w:eastAsia="es-CO"/>
        </w:rPr>
      </w:pPr>
      <w:r w:rsidRPr="009025BB">
        <w:rPr>
          <w:rFonts w:ascii="Segoe UI" w:eastAsia="Times New Roman" w:hAnsi="Segoe UI" w:cs="Segoe UI"/>
          <w:sz w:val="18"/>
          <w:szCs w:val="18"/>
          <w:lang w:eastAsia="es-CO"/>
        </w:rPr>
        <w:t>Que de acuerdo con lo establecido en el artículo 20 de la Ley 1607 de 2012 son sujetos pasivos del impuesto sobre la renta para la equidad–CREE las sociedades y entidades extrajeras contribuyentes declarantes del impuesto sobre la renta por sus ingresos de fuente nacional obtenidos mediante sucursales y establecimientos permanentes y no las personas naturales. De igual manera, esta norma no señala la liquidación y pago del anticipo sobre este impuesto, por lo tanto se hace necesario realizar la precisión sobre el artículo que determina los plazos para la presentación y pago de este impuesto.</w:t>
      </w:r>
    </w:p>
    <w:p w:rsidR="009025BB" w:rsidRPr="009025BB" w:rsidRDefault="009025BB" w:rsidP="009025BB">
      <w:pPr>
        <w:spacing w:line="240" w:lineRule="auto"/>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rPr>
          <w:rFonts w:ascii="Arial" w:eastAsia="Times New Roman" w:hAnsi="Arial" w:cs="Arial"/>
          <w:sz w:val="18"/>
          <w:szCs w:val="18"/>
          <w:lang w:eastAsia="es-CO"/>
        </w:rPr>
      </w:pPr>
      <w:r w:rsidRPr="009025BB">
        <w:rPr>
          <w:rFonts w:ascii="Segoe UI" w:eastAsia="Times New Roman" w:hAnsi="Segoe UI" w:cs="Segoe UI"/>
          <w:sz w:val="18"/>
          <w:szCs w:val="18"/>
          <w:lang w:eastAsia="es-CO"/>
        </w:rPr>
        <w:t>Que teniendo en cuenta el volumen de operaciones de los contribuyentes, responsables de IVA y agentes de retención, a los cuales se le autorizó el plazo especial de que tratan el parágrafo 1° del artículo 23 y el parágrafo 5° del artículo 24 del Decreto número 2634 de 2012, se establece un plazo especial para que presenten las declaraciones del impuesto sobre las ventas y las declaraciones mensuales de retención en la fuente a título de Renta, IVA y Timbre.</w:t>
      </w:r>
    </w:p>
    <w:p w:rsidR="009025BB" w:rsidRPr="009025BB" w:rsidRDefault="009025BB" w:rsidP="009025BB">
      <w:pPr>
        <w:spacing w:line="240" w:lineRule="auto"/>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rPr>
          <w:rFonts w:ascii="Arial" w:eastAsia="Times New Roman" w:hAnsi="Arial" w:cs="Arial"/>
          <w:sz w:val="18"/>
          <w:szCs w:val="18"/>
          <w:lang w:eastAsia="es-CO"/>
        </w:rPr>
      </w:pPr>
      <w:r w:rsidRPr="009025BB">
        <w:rPr>
          <w:rFonts w:ascii="Segoe UI" w:eastAsia="Times New Roman" w:hAnsi="Segoe UI" w:cs="Segoe UI"/>
          <w:sz w:val="18"/>
          <w:szCs w:val="18"/>
          <w:lang w:eastAsia="es-CO"/>
        </w:rPr>
        <w:t>Que de acuerdo con lo indicado por la Ley 1555 de 2012 al no existir la obligación por parte de las entidades de crédito de fundamentarse para el otorgamiento del préstamo en la información contenida en la declaración de renta del solicitante, no se podrá exigir la mencionada información. De igual forma, se hace necesario armonizar el vencimiento del plazo señalado en el decreto con los que estableció la Unidad Administrativa Especial Dirección de Impuestos y Aduanas Nacionales (DIAN).</w:t>
      </w:r>
    </w:p>
    <w:p w:rsidR="009025BB" w:rsidRPr="009025BB" w:rsidRDefault="009025BB" w:rsidP="009025BB">
      <w:pPr>
        <w:spacing w:line="240" w:lineRule="auto"/>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rPr>
          <w:rFonts w:ascii="Arial" w:eastAsia="Times New Roman" w:hAnsi="Arial" w:cs="Arial"/>
          <w:sz w:val="18"/>
          <w:szCs w:val="18"/>
          <w:lang w:eastAsia="es-CO"/>
        </w:rPr>
      </w:pPr>
      <w:r w:rsidRPr="009025BB">
        <w:rPr>
          <w:rFonts w:ascii="Segoe UI" w:eastAsia="Times New Roman" w:hAnsi="Segoe UI" w:cs="Segoe UI"/>
          <w:sz w:val="18"/>
          <w:szCs w:val="18"/>
          <w:lang w:eastAsia="es-CO"/>
        </w:rPr>
        <w:t>Que por error de digitación se hace necesario corregir la fecha de inicio de presentación de las declaraciones de renta personas naturales establecidas en el artículo 14 del Decreto número 2972 de 2013, señalando que las mismas inician el 1° de marzo de 2014 y no del 2013 como se había establecido.</w:t>
      </w:r>
    </w:p>
    <w:p w:rsidR="009025BB" w:rsidRPr="009025BB" w:rsidRDefault="009025BB" w:rsidP="009025BB">
      <w:pPr>
        <w:spacing w:line="240" w:lineRule="auto"/>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rPr>
          <w:rFonts w:ascii="Arial" w:eastAsia="Times New Roman" w:hAnsi="Arial" w:cs="Arial"/>
          <w:sz w:val="18"/>
          <w:szCs w:val="18"/>
          <w:lang w:eastAsia="es-CO"/>
        </w:rPr>
      </w:pPr>
      <w:r w:rsidRPr="009025BB">
        <w:rPr>
          <w:rFonts w:ascii="Segoe UI" w:eastAsia="Times New Roman" w:hAnsi="Segoe UI" w:cs="Segoe UI"/>
          <w:sz w:val="18"/>
          <w:szCs w:val="18"/>
          <w:lang w:eastAsia="es-CO"/>
        </w:rPr>
        <w:t>Que cumplida la formalidad prevista en el numeral 8 del artículo 8° del Código de Procedimiento Administrativo y de lo Contencioso Administrativo en relación con el texto del presente decreto,</w:t>
      </w:r>
    </w:p>
    <w:p w:rsidR="009025BB" w:rsidRPr="009025BB" w:rsidRDefault="009025BB" w:rsidP="009025BB">
      <w:pPr>
        <w:spacing w:line="240" w:lineRule="auto"/>
        <w:jc w:val="center"/>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jc w:val="center"/>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jc w:val="center"/>
        <w:rPr>
          <w:rFonts w:ascii="Arial" w:eastAsia="Times New Roman" w:hAnsi="Arial" w:cs="Arial"/>
          <w:sz w:val="18"/>
          <w:szCs w:val="18"/>
          <w:lang w:eastAsia="es-CO"/>
        </w:rPr>
      </w:pPr>
      <w:r w:rsidRPr="009025BB">
        <w:rPr>
          <w:rFonts w:ascii="Segoe UI" w:eastAsia="Times New Roman" w:hAnsi="Segoe UI" w:cs="Segoe UI"/>
          <w:b/>
          <w:bCs/>
          <w:sz w:val="18"/>
          <w:szCs w:val="18"/>
          <w:lang w:eastAsia="es-CO"/>
        </w:rPr>
        <w:lastRenderedPageBreak/>
        <w:t>DECRETA:</w:t>
      </w:r>
    </w:p>
    <w:p w:rsidR="009025BB" w:rsidRPr="009025BB" w:rsidRDefault="009025BB" w:rsidP="009025BB">
      <w:pPr>
        <w:spacing w:line="240" w:lineRule="auto"/>
        <w:rPr>
          <w:rFonts w:ascii="Arial" w:eastAsia="Times New Roman" w:hAnsi="Arial" w:cs="Arial"/>
          <w:sz w:val="18"/>
          <w:szCs w:val="18"/>
          <w:lang w:eastAsia="es-CO"/>
        </w:rPr>
      </w:pPr>
      <w:r w:rsidRPr="009025BB">
        <w:rPr>
          <w:rFonts w:ascii="Segoe UI" w:eastAsia="Times New Roman" w:hAnsi="Segoe UI" w:cs="Segoe UI"/>
          <w:b/>
          <w:bCs/>
          <w:sz w:val="18"/>
          <w:szCs w:val="18"/>
          <w:lang w:eastAsia="es-CO"/>
        </w:rPr>
        <w:t> </w:t>
      </w:r>
    </w:p>
    <w:p w:rsidR="009025BB" w:rsidRPr="009025BB" w:rsidRDefault="009025BB" w:rsidP="009025BB">
      <w:pPr>
        <w:spacing w:line="240" w:lineRule="auto"/>
        <w:rPr>
          <w:rFonts w:ascii="Arial" w:eastAsia="Times New Roman" w:hAnsi="Arial" w:cs="Arial"/>
          <w:sz w:val="18"/>
          <w:szCs w:val="18"/>
          <w:lang w:eastAsia="es-CO"/>
        </w:rPr>
      </w:pPr>
      <w:r w:rsidRPr="009025BB">
        <w:rPr>
          <w:rFonts w:ascii="Segoe UI" w:eastAsia="Times New Roman" w:hAnsi="Segoe UI" w:cs="Segoe UI"/>
          <w:b/>
          <w:bCs/>
          <w:sz w:val="18"/>
          <w:szCs w:val="18"/>
          <w:lang w:eastAsia="es-CO"/>
        </w:rPr>
        <w:t>Artículo 1°.</w:t>
      </w:r>
      <w:r w:rsidRPr="009025BB">
        <w:rPr>
          <w:rFonts w:ascii="Segoe UI" w:eastAsia="Times New Roman" w:hAnsi="Segoe UI" w:cs="Segoe UI"/>
          <w:sz w:val="18"/>
          <w:szCs w:val="18"/>
          <w:lang w:eastAsia="es-CO"/>
        </w:rPr>
        <w:t> Modifíquese el artículo 11 del Decreto número 2972 de 2013, el cual quedará así:</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18"/>
          <w:szCs w:val="18"/>
          <w:lang w:eastAsia="es-CO"/>
        </w:rPr>
        <w:t>“</w:t>
      </w:r>
      <w:r w:rsidRPr="009025BB">
        <w:rPr>
          <w:rFonts w:ascii="Segoe UI" w:eastAsia="Times New Roman" w:hAnsi="Segoe UI" w:cs="Segoe UI"/>
          <w:b/>
          <w:bCs/>
          <w:sz w:val="18"/>
          <w:szCs w:val="18"/>
          <w:lang w:eastAsia="es-CO"/>
        </w:rPr>
        <w:t>Artículo 11</w:t>
      </w:r>
      <w:r w:rsidRPr="009025BB">
        <w:rPr>
          <w:rFonts w:ascii="Segoe UI" w:eastAsia="Times New Roman" w:hAnsi="Segoe UI" w:cs="Segoe UI"/>
          <w:sz w:val="18"/>
          <w:szCs w:val="18"/>
          <w:lang w:eastAsia="es-CO"/>
        </w:rPr>
        <w:t>. </w:t>
      </w:r>
      <w:r w:rsidRPr="009025BB">
        <w:rPr>
          <w:rFonts w:ascii="Segoe UI" w:eastAsia="Times New Roman" w:hAnsi="Segoe UI" w:cs="Segoe UI"/>
          <w:b/>
          <w:bCs/>
          <w:i/>
          <w:iCs/>
          <w:sz w:val="18"/>
          <w:szCs w:val="18"/>
          <w:lang w:eastAsia="es-CO"/>
        </w:rPr>
        <w:t>Grandes contribuyentes. Declaración de renta y complementarios. </w:t>
      </w:r>
      <w:r w:rsidRPr="009025BB">
        <w:rPr>
          <w:rFonts w:ascii="Segoe UI" w:eastAsia="Times New Roman" w:hAnsi="Segoe UI" w:cs="Segoe UI"/>
          <w:sz w:val="18"/>
          <w:szCs w:val="18"/>
          <w:lang w:eastAsia="es-CO"/>
        </w:rPr>
        <w:t xml:space="preserve">Por el año gravable 2013 deberán presentar la declaración del impuesto sobre la renta y complementarios en el formulario prescrito por la Unidad Administrativa Especial Dirección de Impuestos y Aduanas Nacionales (DIAN), las personas jurídicas o asimiladas, las entidades sin ánimo de lucro con régimen </w:t>
      </w:r>
      <w:r w:rsidRPr="009025BB">
        <w:rPr>
          <w:rFonts w:ascii="Segoe UI" w:eastAsia="Times New Roman" w:hAnsi="Segoe UI" w:cs="Segoe UI"/>
          <w:b/>
          <w:sz w:val="18"/>
          <w:szCs w:val="18"/>
          <w:lang w:eastAsia="es-CO"/>
        </w:rPr>
        <w:t>especial y demás entidades que a 31 de enero de 2014</w:t>
      </w:r>
      <w:r w:rsidRPr="009025BB">
        <w:rPr>
          <w:rFonts w:ascii="Segoe UI" w:eastAsia="Times New Roman" w:hAnsi="Segoe UI" w:cs="Segoe UI"/>
          <w:sz w:val="18"/>
          <w:szCs w:val="18"/>
          <w:lang w:eastAsia="es-CO"/>
        </w:rPr>
        <w:t xml:space="preserve"> hayan sido calificadas como “Grandes Contribuyentes” por la Unidad Administrativa Especial Dirección de Impuestos y Aduanas Nacionales (DIAN), de conformidad con lo dispuesto en el </w:t>
      </w:r>
      <w:hyperlink r:id="rId7" w:tooltip="Estatuto Tributario CETA" w:history="1">
        <w:r w:rsidRPr="009025BB">
          <w:rPr>
            <w:rFonts w:ascii="Segoe UI" w:eastAsia="Times New Roman" w:hAnsi="Segoe UI" w:cs="Segoe UI"/>
            <w:sz w:val="18"/>
            <w:szCs w:val="18"/>
            <w:lang w:eastAsia="es-CO"/>
          </w:rPr>
          <w:t>artículo 562</w:t>
        </w:r>
      </w:hyperlink>
      <w:r w:rsidRPr="009025BB">
        <w:rPr>
          <w:rFonts w:ascii="Segoe UI" w:eastAsia="Times New Roman" w:hAnsi="Segoe UI" w:cs="Segoe UI"/>
          <w:sz w:val="18"/>
          <w:szCs w:val="18"/>
          <w:lang w:eastAsia="es-CO"/>
        </w:rPr>
        <w:t> del Estatuto Tributario.</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18"/>
          <w:szCs w:val="18"/>
          <w:lang w:eastAsia="es-CO"/>
        </w:rPr>
        <w:t>El plazo para presentar la declaración del impuesto sobre la renta y complementarios, se inicia el 1° de marzo del año 2014 y vence entre el 8 y el 24 de abril del mismo año, atendiendo el último dígito del NIT del declarante que conste en el Certificado del Registro Único Tributario (RUT), sin tener en cuenta el dígito de verificación, así:</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18"/>
          <w:szCs w:val="18"/>
          <w:lang w:eastAsia="es-CO"/>
        </w:rPr>
        <w:t>Estos contribuyentes deberán cancelar el valor total del impuesto a pagar y el anticipo en tres (3) cuotas a más tardar en las siguientes fechas:</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b/>
          <w:bCs/>
          <w:sz w:val="18"/>
          <w:szCs w:val="18"/>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b/>
          <w:bCs/>
          <w:sz w:val="18"/>
          <w:szCs w:val="18"/>
          <w:lang w:eastAsia="es-CO"/>
        </w:rPr>
        <w:t>PAGO PRIMERA CUOTA</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b/>
          <w:bCs/>
          <w:sz w:val="18"/>
          <w:szCs w:val="18"/>
          <w:lang w:eastAsia="es-CO"/>
        </w:rPr>
        <w:t> </w:t>
      </w:r>
    </w:p>
    <w:tbl>
      <w:tblPr>
        <w:tblW w:w="0" w:type="auto"/>
        <w:tblInd w:w="284" w:type="dxa"/>
        <w:tblCellMar>
          <w:left w:w="0" w:type="dxa"/>
          <w:right w:w="0" w:type="dxa"/>
        </w:tblCellMar>
        <w:tblLook w:val="04A0" w:firstRow="1" w:lastRow="0" w:firstColumn="1" w:lastColumn="0" w:noHBand="0" w:noVBand="1"/>
      </w:tblPr>
      <w:tblGrid>
        <w:gridCol w:w="2147"/>
        <w:gridCol w:w="2173"/>
      </w:tblGrid>
      <w:tr w:rsidR="00716A94" w:rsidRPr="009025BB" w:rsidTr="009025BB">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eastAsia="Times New Roman"/>
                <w:szCs w:val="24"/>
                <w:lang w:eastAsia="es-CO"/>
              </w:rPr>
            </w:pPr>
            <w:r w:rsidRPr="009025BB">
              <w:rPr>
                <w:rFonts w:ascii="Segoe UI" w:eastAsia="Times New Roman" w:hAnsi="Segoe UI" w:cs="Segoe UI"/>
                <w:b/>
                <w:bCs/>
                <w:sz w:val="20"/>
                <w:szCs w:val="20"/>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eastAsia="Times New Roman"/>
                <w:szCs w:val="24"/>
                <w:lang w:eastAsia="es-CO"/>
              </w:rPr>
            </w:pPr>
            <w:r w:rsidRPr="009025BB">
              <w:rPr>
                <w:rFonts w:ascii="Segoe UI" w:eastAsia="Times New Roman" w:hAnsi="Segoe UI" w:cs="Segoe UI"/>
                <w:b/>
                <w:bCs/>
                <w:sz w:val="20"/>
                <w:szCs w:val="20"/>
                <w:lang w:eastAsia="es-CO"/>
              </w:rPr>
              <w:t>Hasta el día</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eastAsia="Times New Roman"/>
                <w:szCs w:val="24"/>
                <w:lang w:eastAsia="es-CO"/>
              </w:rPr>
            </w:pPr>
            <w:r w:rsidRPr="009025BB">
              <w:rPr>
                <w:rFonts w:ascii="Segoe UI" w:eastAsia="Times New Roman" w:hAnsi="Segoe UI" w:cs="Segoe UI"/>
                <w:sz w:val="20"/>
                <w:szCs w:val="20"/>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eastAsia="Times New Roman"/>
                <w:szCs w:val="24"/>
                <w:lang w:eastAsia="es-CO"/>
              </w:rPr>
            </w:pPr>
            <w:r w:rsidRPr="009025BB">
              <w:rPr>
                <w:rFonts w:ascii="Segoe UI" w:eastAsia="Times New Roman" w:hAnsi="Segoe UI" w:cs="Segoe UI"/>
                <w:sz w:val="20"/>
                <w:szCs w:val="20"/>
                <w:lang w:eastAsia="es-CO"/>
              </w:rPr>
              <w:t>11 de febrero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eastAsia="Times New Roman"/>
                <w:szCs w:val="24"/>
                <w:lang w:eastAsia="es-CO"/>
              </w:rPr>
            </w:pPr>
            <w:r w:rsidRPr="009025BB">
              <w:rPr>
                <w:rFonts w:ascii="Segoe UI" w:eastAsia="Times New Roman" w:hAnsi="Segoe UI" w:cs="Segoe UI"/>
                <w:sz w:val="20"/>
                <w:szCs w:val="20"/>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eastAsia="Times New Roman"/>
                <w:szCs w:val="24"/>
                <w:lang w:eastAsia="es-CO"/>
              </w:rPr>
            </w:pPr>
            <w:r w:rsidRPr="009025BB">
              <w:rPr>
                <w:rFonts w:ascii="Segoe UI" w:eastAsia="Times New Roman" w:hAnsi="Segoe UI" w:cs="Segoe UI"/>
                <w:sz w:val="20"/>
                <w:szCs w:val="20"/>
                <w:lang w:eastAsia="es-CO"/>
              </w:rPr>
              <w:t>12 de febrero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eastAsia="Times New Roman"/>
                <w:szCs w:val="24"/>
                <w:lang w:eastAsia="es-CO"/>
              </w:rPr>
            </w:pPr>
            <w:r w:rsidRPr="009025BB">
              <w:rPr>
                <w:rFonts w:ascii="Segoe UI" w:eastAsia="Times New Roman" w:hAnsi="Segoe UI" w:cs="Segoe UI"/>
                <w:sz w:val="20"/>
                <w:szCs w:val="20"/>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eastAsia="Times New Roman"/>
                <w:szCs w:val="24"/>
                <w:lang w:eastAsia="es-CO"/>
              </w:rPr>
            </w:pPr>
            <w:r w:rsidRPr="009025BB">
              <w:rPr>
                <w:rFonts w:ascii="Segoe UI" w:eastAsia="Times New Roman" w:hAnsi="Segoe UI" w:cs="Segoe UI"/>
                <w:sz w:val="20"/>
                <w:szCs w:val="20"/>
                <w:lang w:eastAsia="es-CO"/>
              </w:rPr>
              <w:t>13 de febrero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eastAsia="Times New Roman"/>
                <w:szCs w:val="24"/>
                <w:lang w:eastAsia="es-CO"/>
              </w:rPr>
            </w:pPr>
            <w:r w:rsidRPr="009025BB">
              <w:rPr>
                <w:rFonts w:ascii="Segoe UI" w:eastAsia="Times New Roman" w:hAnsi="Segoe UI" w:cs="Segoe UI"/>
                <w:sz w:val="20"/>
                <w:szCs w:val="20"/>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eastAsia="Times New Roman"/>
                <w:szCs w:val="24"/>
                <w:lang w:eastAsia="es-CO"/>
              </w:rPr>
            </w:pPr>
            <w:r w:rsidRPr="009025BB">
              <w:rPr>
                <w:rFonts w:ascii="Segoe UI" w:eastAsia="Times New Roman" w:hAnsi="Segoe UI" w:cs="Segoe UI"/>
                <w:sz w:val="20"/>
                <w:szCs w:val="20"/>
                <w:lang w:eastAsia="es-CO"/>
              </w:rPr>
              <w:t>14 de febrero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eastAsia="Times New Roman"/>
                <w:szCs w:val="24"/>
                <w:lang w:eastAsia="es-CO"/>
              </w:rPr>
            </w:pPr>
            <w:r w:rsidRPr="009025BB">
              <w:rPr>
                <w:rFonts w:ascii="Segoe UI" w:eastAsia="Times New Roman" w:hAnsi="Segoe UI" w:cs="Segoe UI"/>
                <w:sz w:val="20"/>
                <w:szCs w:val="20"/>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eastAsia="Times New Roman"/>
                <w:szCs w:val="24"/>
                <w:lang w:eastAsia="es-CO"/>
              </w:rPr>
            </w:pPr>
            <w:r w:rsidRPr="009025BB">
              <w:rPr>
                <w:rFonts w:ascii="Segoe UI" w:eastAsia="Times New Roman" w:hAnsi="Segoe UI" w:cs="Segoe UI"/>
                <w:sz w:val="20"/>
                <w:szCs w:val="20"/>
                <w:lang w:eastAsia="es-CO"/>
              </w:rPr>
              <w:t>17 de febrero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eastAsia="Times New Roman"/>
                <w:szCs w:val="24"/>
                <w:lang w:eastAsia="es-CO"/>
              </w:rPr>
            </w:pPr>
            <w:r w:rsidRPr="009025BB">
              <w:rPr>
                <w:rFonts w:ascii="Segoe UI" w:eastAsia="Times New Roman" w:hAnsi="Segoe UI" w:cs="Segoe UI"/>
                <w:sz w:val="20"/>
                <w:szCs w:val="20"/>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eastAsia="Times New Roman"/>
                <w:szCs w:val="24"/>
                <w:lang w:eastAsia="es-CO"/>
              </w:rPr>
            </w:pPr>
            <w:r w:rsidRPr="009025BB">
              <w:rPr>
                <w:rFonts w:ascii="Segoe UI" w:eastAsia="Times New Roman" w:hAnsi="Segoe UI" w:cs="Segoe UI"/>
                <w:sz w:val="20"/>
                <w:szCs w:val="20"/>
                <w:lang w:eastAsia="es-CO"/>
              </w:rPr>
              <w:t>18 de febrero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eastAsia="Times New Roman"/>
                <w:szCs w:val="24"/>
                <w:lang w:eastAsia="es-CO"/>
              </w:rPr>
            </w:pPr>
            <w:r w:rsidRPr="009025BB">
              <w:rPr>
                <w:rFonts w:ascii="Segoe UI" w:eastAsia="Times New Roman" w:hAnsi="Segoe UI" w:cs="Segoe UI"/>
                <w:sz w:val="20"/>
                <w:szCs w:val="20"/>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eastAsia="Times New Roman"/>
                <w:szCs w:val="24"/>
                <w:lang w:eastAsia="es-CO"/>
              </w:rPr>
            </w:pPr>
            <w:r w:rsidRPr="009025BB">
              <w:rPr>
                <w:rFonts w:ascii="Segoe UI" w:eastAsia="Times New Roman" w:hAnsi="Segoe UI" w:cs="Segoe UI"/>
                <w:sz w:val="20"/>
                <w:szCs w:val="20"/>
                <w:lang w:eastAsia="es-CO"/>
              </w:rPr>
              <w:t>19 de febrero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eastAsia="Times New Roman"/>
                <w:szCs w:val="24"/>
                <w:lang w:eastAsia="es-CO"/>
              </w:rPr>
            </w:pPr>
            <w:r w:rsidRPr="009025BB">
              <w:rPr>
                <w:rFonts w:ascii="Segoe UI" w:eastAsia="Times New Roman" w:hAnsi="Segoe UI" w:cs="Segoe UI"/>
                <w:sz w:val="20"/>
                <w:szCs w:val="20"/>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eastAsia="Times New Roman"/>
                <w:szCs w:val="24"/>
                <w:lang w:eastAsia="es-CO"/>
              </w:rPr>
            </w:pPr>
            <w:r w:rsidRPr="009025BB">
              <w:rPr>
                <w:rFonts w:ascii="Segoe UI" w:eastAsia="Times New Roman" w:hAnsi="Segoe UI" w:cs="Segoe UI"/>
                <w:sz w:val="20"/>
                <w:szCs w:val="20"/>
                <w:lang w:eastAsia="es-CO"/>
              </w:rPr>
              <w:t>20 de febrero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eastAsia="Times New Roman"/>
                <w:szCs w:val="24"/>
                <w:lang w:eastAsia="es-CO"/>
              </w:rPr>
            </w:pPr>
            <w:r w:rsidRPr="009025BB">
              <w:rPr>
                <w:rFonts w:ascii="Segoe UI" w:eastAsia="Times New Roman" w:hAnsi="Segoe UI" w:cs="Segoe UI"/>
                <w:sz w:val="20"/>
                <w:szCs w:val="20"/>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eastAsia="Times New Roman"/>
                <w:szCs w:val="24"/>
                <w:lang w:eastAsia="es-CO"/>
              </w:rPr>
            </w:pPr>
            <w:r w:rsidRPr="009025BB">
              <w:rPr>
                <w:rFonts w:ascii="Segoe UI" w:eastAsia="Times New Roman" w:hAnsi="Segoe UI" w:cs="Segoe UI"/>
                <w:sz w:val="20"/>
                <w:szCs w:val="20"/>
                <w:lang w:eastAsia="es-CO"/>
              </w:rPr>
              <w:t>21 de febrero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eastAsia="Times New Roman"/>
                <w:szCs w:val="24"/>
                <w:lang w:eastAsia="es-CO"/>
              </w:rPr>
            </w:pPr>
            <w:r w:rsidRPr="009025BB">
              <w:rPr>
                <w:rFonts w:ascii="Segoe UI" w:eastAsia="Times New Roman" w:hAnsi="Segoe UI" w:cs="Segoe UI"/>
                <w:sz w:val="20"/>
                <w:szCs w:val="20"/>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eastAsia="Times New Roman"/>
                <w:szCs w:val="24"/>
                <w:lang w:eastAsia="es-CO"/>
              </w:rPr>
            </w:pPr>
            <w:r w:rsidRPr="009025BB">
              <w:rPr>
                <w:rFonts w:ascii="Segoe UI" w:eastAsia="Times New Roman" w:hAnsi="Segoe UI" w:cs="Segoe UI"/>
                <w:sz w:val="20"/>
                <w:szCs w:val="20"/>
                <w:lang w:eastAsia="es-CO"/>
              </w:rPr>
              <w:t>24 de febrero de 2014</w:t>
            </w:r>
          </w:p>
        </w:tc>
      </w:tr>
    </w:tbl>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b/>
          <w:bCs/>
          <w:sz w:val="18"/>
          <w:szCs w:val="18"/>
          <w:lang w:eastAsia="es-CO"/>
        </w:rPr>
        <w:t>DECLARACIÓN Y PAGO SEGUNDA CUOTA</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b/>
          <w:bCs/>
          <w:sz w:val="18"/>
          <w:szCs w:val="18"/>
          <w:lang w:eastAsia="es-CO"/>
        </w:rPr>
        <w:t> </w:t>
      </w:r>
    </w:p>
    <w:tbl>
      <w:tblPr>
        <w:tblW w:w="0" w:type="auto"/>
        <w:tblInd w:w="284" w:type="dxa"/>
        <w:tblCellMar>
          <w:left w:w="0" w:type="dxa"/>
          <w:right w:w="0" w:type="dxa"/>
        </w:tblCellMar>
        <w:tblLook w:val="04A0" w:firstRow="1" w:lastRow="0" w:firstColumn="1" w:lastColumn="0" w:noHBand="0" w:noVBand="1"/>
      </w:tblPr>
      <w:tblGrid>
        <w:gridCol w:w="2147"/>
        <w:gridCol w:w="1913"/>
      </w:tblGrid>
      <w:tr w:rsidR="00716A94" w:rsidRPr="009025BB" w:rsidTr="009025BB">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eastAsia="Times New Roman"/>
                <w:szCs w:val="24"/>
                <w:lang w:eastAsia="es-CO"/>
              </w:rPr>
            </w:pPr>
            <w:r w:rsidRPr="009025BB">
              <w:rPr>
                <w:rFonts w:ascii="Segoe UI" w:eastAsia="Times New Roman" w:hAnsi="Segoe UI" w:cs="Segoe UI"/>
                <w:b/>
                <w:bCs/>
                <w:sz w:val="20"/>
                <w:szCs w:val="20"/>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eastAsia="Times New Roman"/>
                <w:szCs w:val="24"/>
                <w:lang w:eastAsia="es-CO"/>
              </w:rPr>
            </w:pPr>
            <w:r w:rsidRPr="009025BB">
              <w:rPr>
                <w:rFonts w:ascii="Segoe UI" w:eastAsia="Times New Roman" w:hAnsi="Segoe UI" w:cs="Segoe UI"/>
                <w:b/>
                <w:bCs/>
                <w:sz w:val="20"/>
                <w:szCs w:val="20"/>
                <w:lang w:eastAsia="es-CO"/>
              </w:rPr>
              <w:t>Hasta el día</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eastAsia="Times New Roman"/>
                <w:szCs w:val="24"/>
                <w:lang w:eastAsia="es-CO"/>
              </w:rPr>
            </w:pPr>
            <w:r w:rsidRPr="009025BB">
              <w:rPr>
                <w:rFonts w:ascii="Segoe UI" w:eastAsia="Times New Roman" w:hAnsi="Segoe UI" w:cs="Segoe UI"/>
                <w:sz w:val="20"/>
                <w:szCs w:val="20"/>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eastAsia="Times New Roman"/>
                <w:szCs w:val="24"/>
                <w:lang w:eastAsia="es-CO"/>
              </w:rPr>
            </w:pPr>
            <w:r w:rsidRPr="009025BB">
              <w:rPr>
                <w:rFonts w:ascii="Segoe UI" w:eastAsia="Times New Roman" w:hAnsi="Segoe UI" w:cs="Segoe UI"/>
                <w:sz w:val="20"/>
                <w:szCs w:val="20"/>
                <w:lang w:eastAsia="es-CO"/>
              </w:rPr>
              <w:t>8 de abril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eastAsia="Times New Roman"/>
                <w:szCs w:val="24"/>
                <w:lang w:eastAsia="es-CO"/>
              </w:rPr>
            </w:pPr>
            <w:r w:rsidRPr="009025BB">
              <w:rPr>
                <w:rFonts w:ascii="Segoe UI" w:eastAsia="Times New Roman" w:hAnsi="Segoe UI" w:cs="Segoe UI"/>
                <w:sz w:val="20"/>
                <w:szCs w:val="20"/>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eastAsia="Times New Roman"/>
                <w:szCs w:val="24"/>
                <w:lang w:eastAsia="es-CO"/>
              </w:rPr>
            </w:pPr>
            <w:r w:rsidRPr="009025BB">
              <w:rPr>
                <w:rFonts w:ascii="Segoe UI" w:eastAsia="Times New Roman" w:hAnsi="Segoe UI" w:cs="Segoe UI"/>
                <w:sz w:val="20"/>
                <w:szCs w:val="20"/>
                <w:lang w:eastAsia="es-CO"/>
              </w:rPr>
              <w:t>9 de abril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eastAsia="Times New Roman"/>
                <w:szCs w:val="24"/>
                <w:lang w:eastAsia="es-CO"/>
              </w:rPr>
            </w:pPr>
            <w:r w:rsidRPr="009025BB">
              <w:rPr>
                <w:rFonts w:ascii="Segoe UI" w:eastAsia="Times New Roman" w:hAnsi="Segoe UI" w:cs="Segoe UI"/>
                <w:sz w:val="20"/>
                <w:szCs w:val="20"/>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eastAsia="Times New Roman"/>
                <w:szCs w:val="24"/>
                <w:lang w:eastAsia="es-CO"/>
              </w:rPr>
            </w:pPr>
            <w:r w:rsidRPr="009025BB">
              <w:rPr>
                <w:rFonts w:ascii="Segoe UI" w:eastAsia="Times New Roman" w:hAnsi="Segoe UI" w:cs="Segoe UI"/>
                <w:sz w:val="20"/>
                <w:szCs w:val="20"/>
                <w:lang w:eastAsia="es-CO"/>
              </w:rPr>
              <w:t>10 de abril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eastAsia="Times New Roman"/>
                <w:szCs w:val="24"/>
                <w:lang w:eastAsia="es-CO"/>
              </w:rPr>
            </w:pPr>
            <w:r w:rsidRPr="009025BB">
              <w:rPr>
                <w:rFonts w:ascii="Segoe UI" w:eastAsia="Times New Roman" w:hAnsi="Segoe UI" w:cs="Segoe UI"/>
                <w:sz w:val="20"/>
                <w:szCs w:val="20"/>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eastAsia="Times New Roman"/>
                <w:szCs w:val="24"/>
                <w:lang w:eastAsia="es-CO"/>
              </w:rPr>
            </w:pPr>
            <w:r w:rsidRPr="009025BB">
              <w:rPr>
                <w:rFonts w:ascii="Segoe UI" w:eastAsia="Times New Roman" w:hAnsi="Segoe UI" w:cs="Segoe UI"/>
                <w:sz w:val="20"/>
                <w:szCs w:val="20"/>
                <w:lang w:eastAsia="es-CO"/>
              </w:rPr>
              <w:t>11 de abril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eastAsia="Times New Roman"/>
                <w:szCs w:val="24"/>
                <w:lang w:eastAsia="es-CO"/>
              </w:rPr>
            </w:pPr>
            <w:r w:rsidRPr="009025BB">
              <w:rPr>
                <w:rFonts w:ascii="Segoe UI" w:eastAsia="Times New Roman" w:hAnsi="Segoe UI" w:cs="Segoe UI"/>
                <w:sz w:val="20"/>
                <w:szCs w:val="20"/>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eastAsia="Times New Roman"/>
                <w:szCs w:val="24"/>
                <w:lang w:eastAsia="es-CO"/>
              </w:rPr>
            </w:pPr>
            <w:r w:rsidRPr="009025BB">
              <w:rPr>
                <w:rFonts w:ascii="Segoe UI" w:eastAsia="Times New Roman" w:hAnsi="Segoe UI" w:cs="Segoe UI"/>
                <w:sz w:val="20"/>
                <w:szCs w:val="20"/>
                <w:lang w:eastAsia="es-CO"/>
              </w:rPr>
              <w:t>14 de abril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eastAsia="Times New Roman"/>
                <w:szCs w:val="24"/>
                <w:lang w:eastAsia="es-CO"/>
              </w:rPr>
            </w:pPr>
            <w:r w:rsidRPr="009025BB">
              <w:rPr>
                <w:rFonts w:ascii="Segoe UI" w:eastAsia="Times New Roman" w:hAnsi="Segoe UI" w:cs="Segoe UI"/>
                <w:sz w:val="20"/>
                <w:szCs w:val="20"/>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eastAsia="Times New Roman"/>
                <w:szCs w:val="24"/>
                <w:lang w:eastAsia="es-CO"/>
              </w:rPr>
            </w:pPr>
            <w:r w:rsidRPr="009025BB">
              <w:rPr>
                <w:rFonts w:ascii="Segoe UI" w:eastAsia="Times New Roman" w:hAnsi="Segoe UI" w:cs="Segoe UI"/>
                <w:sz w:val="20"/>
                <w:szCs w:val="20"/>
                <w:lang w:eastAsia="es-CO"/>
              </w:rPr>
              <w:t>15 de abril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eastAsia="Times New Roman"/>
                <w:szCs w:val="24"/>
                <w:lang w:eastAsia="es-CO"/>
              </w:rPr>
            </w:pPr>
            <w:r w:rsidRPr="009025BB">
              <w:rPr>
                <w:rFonts w:ascii="Segoe UI" w:eastAsia="Times New Roman" w:hAnsi="Segoe UI" w:cs="Segoe UI"/>
                <w:sz w:val="20"/>
                <w:szCs w:val="20"/>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eastAsia="Times New Roman"/>
                <w:szCs w:val="24"/>
                <w:lang w:eastAsia="es-CO"/>
              </w:rPr>
            </w:pPr>
            <w:r w:rsidRPr="009025BB">
              <w:rPr>
                <w:rFonts w:ascii="Segoe UI" w:eastAsia="Times New Roman" w:hAnsi="Segoe UI" w:cs="Segoe UI"/>
                <w:sz w:val="20"/>
                <w:szCs w:val="20"/>
                <w:lang w:eastAsia="es-CO"/>
              </w:rPr>
              <w:t>21 de abril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eastAsia="Times New Roman"/>
                <w:szCs w:val="24"/>
                <w:lang w:eastAsia="es-CO"/>
              </w:rPr>
            </w:pPr>
            <w:r w:rsidRPr="009025BB">
              <w:rPr>
                <w:rFonts w:ascii="Segoe UI" w:eastAsia="Times New Roman" w:hAnsi="Segoe UI" w:cs="Segoe UI"/>
                <w:sz w:val="20"/>
                <w:szCs w:val="20"/>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eastAsia="Times New Roman"/>
                <w:szCs w:val="24"/>
                <w:lang w:eastAsia="es-CO"/>
              </w:rPr>
            </w:pPr>
            <w:r w:rsidRPr="009025BB">
              <w:rPr>
                <w:rFonts w:ascii="Segoe UI" w:eastAsia="Times New Roman" w:hAnsi="Segoe UI" w:cs="Segoe UI"/>
                <w:sz w:val="20"/>
                <w:szCs w:val="20"/>
                <w:lang w:eastAsia="es-CO"/>
              </w:rPr>
              <w:t>22 de abril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eastAsia="Times New Roman"/>
                <w:szCs w:val="24"/>
                <w:lang w:eastAsia="es-CO"/>
              </w:rPr>
            </w:pPr>
            <w:r w:rsidRPr="009025BB">
              <w:rPr>
                <w:rFonts w:ascii="Segoe UI" w:eastAsia="Times New Roman" w:hAnsi="Segoe UI" w:cs="Segoe UI"/>
                <w:sz w:val="20"/>
                <w:szCs w:val="20"/>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eastAsia="Times New Roman"/>
                <w:szCs w:val="24"/>
                <w:lang w:eastAsia="es-CO"/>
              </w:rPr>
            </w:pPr>
            <w:r w:rsidRPr="009025BB">
              <w:rPr>
                <w:rFonts w:ascii="Segoe UI" w:eastAsia="Times New Roman" w:hAnsi="Segoe UI" w:cs="Segoe UI"/>
                <w:sz w:val="20"/>
                <w:szCs w:val="20"/>
                <w:lang w:eastAsia="es-CO"/>
              </w:rPr>
              <w:t>23 de abril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eastAsia="Times New Roman"/>
                <w:szCs w:val="24"/>
                <w:lang w:eastAsia="es-CO"/>
              </w:rPr>
            </w:pPr>
            <w:r w:rsidRPr="009025BB">
              <w:rPr>
                <w:rFonts w:ascii="Segoe UI" w:eastAsia="Times New Roman" w:hAnsi="Segoe UI" w:cs="Segoe UI"/>
                <w:sz w:val="20"/>
                <w:szCs w:val="20"/>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eastAsia="Times New Roman"/>
                <w:szCs w:val="24"/>
                <w:lang w:eastAsia="es-CO"/>
              </w:rPr>
            </w:pPr>
            <w:r w:rsidRPr="009025BB">
              <w:rPr>
                <w:rFonts w:ascii="Segoe UI" w:eastAsia="Times New Roman" w:hAnsi="Segoe UI" w:cs="Segoe UI"/>
                <w:sz w:val="20"/>
                <w:szCs w:val="20"/>
                <w:lang w:eastAsia="es-CO"/>
              </w:rPr>
              <w:t>24 de abril de 2014</w:t>
            </w:r>
          </w:p>
        </w:tc>
      </w:tr>
    </w:tbl>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b/>
          <w:bCs/>
          <w:sz w:val="18"/>
          <w:szCs w:val="18"/>
          <w:lang w:eastAsia="es-CO"/>
        </w:rPr>
        <w:t>PAGO TERCERA CUOTA</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b/>
          <w:bCs/>
          <w:sz w:val="18"/>
          <w:szCs w:val="18"/>
          <w:lang w:eastAsia="es-CO"/>
        </w:rPr>
        <w:t> </w:t>
      </w:r>
    </w:p>
    <w:tbl>
      <w:tblPr>
        <w:tblW w:w="0" w:type="auto"/>
        <w:tblInd w:w="284" w:type="dxa"/>
        <w:tblCellMar>
          <w:left w:w="0" w:type="dxa"/>
          <w:right w:w="0" w:type="dxa"/>
        </w:tblCellMar>
        <w:tblLook w:val="04A0" w:firstRow="1" w:lastRow="0" w:firstColumn="1" w:lastColumn="0" w:noHBand="0" w:noVBand="1"/>
      </w:tblPr>
      <w:tblGrid>
        <w:gridCol w:w="2147"/>
        <w:gridCol w:w="1968"/>
      </w:tblGrid>
      <w:tr w:rsidR="00716A94" w:rsidRPr="009025BB" w:rsidTr="009025BB">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eastAsia="Times New Roman"/>
                <w:szCs w:val="24"/>
                <w:lang w:eastAsia="es-CO"/>
              </w:rPr>
            </w:pPr>
            <w:r w:rsidRPr="009025BB">
              <w:rPr>
                <w:rFonts w:ascii="Segoe UI" w:eastAsia="Times New Roman" w:hAnsi="Segoe UI" w:cs="Segoe UI"/>
                <w:b/>
                <w:bCs/>
                <w:sz w:val="20"/>
                <w:szCs w:val="20"/>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eastAsia="Times New Roman"/>
                <w:szCs w:val="24"/>
                <w:lang w:eastAsia="es-CO"/>
              </w:rPr>
            </w:pPr>
            <w:r w:rsidRPr="009025BB">
              <w:rPr>
                <w:rFonts w:ascii="Segoe UI" w:eastAsia="Times New Roman" w:hAnsi="Segoe UI" w:cs="Segoe UI"/>
                <w:b/>
                <w:bCs/>
                <w:sz w:val="20"/>
                <w:szCs w:val="20"/>
                <w:lang w:eastAsia="es-CO"/>
              </w:rPr>
              <w:t>Hasta el día</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eastAsia="Times New Roman"/>
                <w:szCs w:val="24"/>
                <w:lang w:eastAsia="es-CO"/>
              </w:rPr>
            </w:pPr>
            <w:r w:rsidRPr="009025BB">
              <w:rPr>
                <w:rFonts w:ascii="Segoe UI" w:eastAsia="Times New Roman" w:hAnsi="Segoe UI" w:cs="Segoe UI"/>
                <w:sz w:val="20"/>
                <w:szCs w:val="20"/>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eastAsia="Times New Roman"/>
                <w:szCs w:val="24"/>
                <w:lang w:eastAsia="es-CO"/>
              </w:rPr>
            </w:pPr>
            <w:r w:rsidRPr="009025BB">
              <w:rPr>
                <w:rFonts w:ascii="Segoe UI" w:eastAsia="Times New Roman" w:hAnsi="Segoe UI" w:cs="Segoe UI"/>
                <w:sz w:val="20"/>
                <w:szCs w:val="20"/>
                <w:lang w:eastAsia="es-CO"/>
              </w:rPr>
              <w:t>10 de junio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eastAsia="Times New Roman"/>
                <w:szCs w:val="24"/>
                <w:lang w:eastAsia="es-CO"/>
              </w:rPr>
            </w:pPr>
            <w:r w:rsidRPr="009025BB">
              <w:rPr>
                <w:rFonts w:ascii="Segoe UI" w:eastAsia="Times New Roman" w:hAnsi="Segoe UI" w:cs="Segoe UI"/>
                <w:sz w:val="20"/>
                <w:szCs w:val="20"/>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eastAsia="Times New Roman"/>
                <w:szCs w:val="24"/>
                <w:lang w:eastAsia="es-CO"/>
              </w:rPr>
            </w:pPr>
            <w:r w:rsidRPr="009025BB">
              <w:rPr>
                <w:rFonts w:ascii="Segoe UI" w:eastAsia="Times New Roman" w:hAnsi="Segoe UI" w:cs="Segoe UI"/>
                <w:sz w:val="20"/>
                <w:szCs w:val="20"/>
                <w:lang w:eastAsia="es-CO"/>
              </w:rPr>
              <w:t>11 de junio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eastAsia="Times New Roman"/>
                <w:szCs w:val="24"/>
                <w:lang w:eastAsia="es-CO"/>
              </w:rPr>
            </w:pPr>
            <w:r w:rsidRPr="009025BB">
              <w:rPr>
                <w:rFonts w:ascii="Segoe UI" w:eastAsia="Times New Roman" w:hAnsi="Segoe UI" w:cs="Segoe UI"/>
                <w:sz w:val="20"/>
                <w:szCs w:val="20"/>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eastAsia="Times New Roman"/>
                <w:szCs w:val="24"/>
                <w:lang w:eastAsia="es-CO"/>
              </w:rPr>
            </w:pPr>
            <w:r w:rsidRPr="009025BB">
              <w:rPr>
                <w:rFonts w:ascii="Segoe UI" w:eastAsia="Times New Roman" w:hAnsi="Segoe UI" w:cs="Segoe UI"/>
                <w:sz w:val="20"/>
                <w:szCs w:val="20"/>
                <w:lang w:eastAsia="es-CO"/>
              </w:rPr>
              <w:t>12 de junio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eastAsia="Times New Roman"/>
                <w:szCs w:val="24"/>
                <w:lang w:eastAsia="es-CO"/>
              </w:rPr>
            </w:pPr>
            <w:r w:rsidRPr="009025BB">
              <w:rPr>
                <w:rFonts w:ascii="Segoe UI" w:eastAsia="Times New Roman" w:hAnsi="Segoe UI" w:cs="Segoe UI"/>
                <w:sz w:val="20"/>
                <w:szCs w:val="20"/>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eastAsia="Times New Roman"/>
                <w:szCs w:val="24"/>
                <w:lang w:eastAsia="es-CO"/>
              </w:rPr>
            </w:pPr>
            <w:r w:rsidRPr="009025BB">
              <w:rPr>
                <w:rFonts w:ascii="Segoe UI" w:eastAsia="Times New Roman" w:hAnsi="Segoe UI" w:cs="Segoe UI"/>
                <w:sz w:val="20"/>
                <w:szCs w:val="20"/>
                <w:lang w:eastAsia="es-CO"/>
              </w:rPr>
              <w:t>13 de junio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eastAsia="Times New Roman"/>
                <w:szCs w:val="24"/>
                <w:lang w:eastAsia="es-CO"/>
              </w:rPr>
            </w:pPr>
            <w:r w:rsidRPr="009025BB">
              <w:rPr>
                <w:rFonts w:ascii="Segoe UI" w:eastAsia="Times New Roman" w:hAnsi="Segoe UI" w:cs="Segoe UI"/>
                <w:sz w:val="20"/>
                <w:szCs w:val="20"/>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eastAsia="Times New Roman"/>
                <w:szCs w:val="24"/>
                <w:lang w:eastAsia="es-CO"/>
              </w:rPr>
            </w:pPr>
            <w:r w:rsidRPr="009025BB">
              <w:rPr>
                <w:rFonts w:ascii="Segoe UI" w:eastAsia="Times New Roman" w:hAnsi="Segoe UI" w:cs="Segoe UI"/>
                <w:sz w:val="20"/>
                <w:szCs w:val="20"/>
                <w:lang w:eastAsia="es-CO"/>
              </w:rPr>
              <w:t>16 de junio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eastAsia="Times New Roman"/>
                <w:szCs w:val="24"/>
                <w:lang w:eastAsia="es-CO"/>
              </w:rPr>
            </w:pPr>
            <w:r w:rsidRPr="009025BB">
              <w:rPr>
                <w:rFonts w:ascii="Segoe UI" w:eastAsia="Times New Roman" w:hAnsi="Segoe UI" w:cs="Segoe UI"/>
                <w:sz w:val="20"/>
                <w:szCs w:val="20"/>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eastAsia="Times New Roman"/>
                <w:szCs w:val="24"/>
                <w:lang w:eastAsia="es-CO"/>
              </w:rPr>
            </w:pPr>
            <w:r w:rsidRPr="009025BB">
              <w:rPr>
                <w:rFonts w:ascii="Segoe UI" w:eastAsia="Times New Roman" w:hAnsi="Segoe UI" w:cs="Segoe UI"/>
                <w:sz w:val="20"/>
                <w:szCs w:val="20"/>
                <w:lang w:eastAsia="es-CO"/>
              </w:rPr>
              <w:t>17 de junio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eastAsia="Times New Roman"/>
                <w:szCs w:val="24"/>
                <w:lang w:eastAsia="es-CO"/>
              </w:rPr>
            </w:pPr>
            <w:r w:rsidRPr="009025BB">
              <w:rPr>
                <w:rFonts w:ascii="Segoe UI" w:eastAsia="Times New Roman" w:hAnsi="Segoe UI" w:cs="Segoe UI"/>
                <w:sz w:val="20"/>
                <w:szCs w:val="20"/>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eastAsia="Times New Roman"/>
                <w:szCs w:val="24"/>
                <w:lang w:eastAsia="es-CO"/>
              </w:rPr>
            </w:pPr>
            <w:r w:rsidRPr="009025BB">
              <w:rPr>
                <w:rFonts w:ascii="Segoe UI" w:eastAsia="Times New Roman" w:hAnsi="Segoe UI" w:cs="Segoe UI"/>
                <w:sz w:val="20"/>
                <w:szCs w:val="20"/>
                <w:lang w:eastAsia="es-CO"/>
              </w:rPr>
              <w:t>18 de junio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eastAsia="Times New Roman"/>
                <w:szCs w:val="24"/>
                <w:lang w:eastAsia="es-CO"/>
              </w:rPr>
            </w:pPr>
            <w:r w:rsidRPr="009025BB">
              <w:rPr>
                <w:rFonts w:ascii="Segoe UI" w:eastAsia="Times New Roman" w:hAnsi="Segoe UI" w:cs="Segoe UI"/>
                <w:sz w:val="20"/>
                <w:szCs w:val="20"/>
                <w:lang w:eastAsia="es-CO"/>
              </w:rPr>
              <w:lastRenderedPageBreak/>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eastAsia="Times New Roman"/>
                <w:szCs w:val="24"/>
                <w:lang w:eastAsia="es-CO"/>
              </w:rPr>
            </w:pPr>
            <w:r w:rsidRPr="009025BB">
              <w:rPr>
                <w:rFonts w:ascii="Segoe UI" w:eastAsia="Times New Roman" w:hAnsi="Segoe UI" w:cs="Segoe UI"/>
                <w:sz w:val="20"/>
                <w:szCs w:val="20"/>
                <w:lang w:eastAsia="es-CO"/>
              </w:rPr>
              <w:t>19 de junio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eastAsia="Times New Roman"/>
                <w:szCs w:val="24"/>
                <w:lang w:eastAsia="es-CO"/>
              </w:rPr>
            </w:pPr>
            <w:r w:rsidRPr="009025BB">
              <w:rPr>
                <w:rFonts w:ascii="Segoe UI" w:eastAsia="Times New Roman" w:hAnsi="Segoe UI" w:cs="Segoe UI"/>
                <w:sz w:val="20"/>
                <w:szCs w:val="20"/>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eastAsia="Times New Roman"/>
                <w:szCs w:val="24"/>
                <w:lang w:eastAsia="es-CO"/>
              </w:rPr>
            </w:pPr>
            <w:r w:rsidRPr="009025BB">
              <w:rPr>
                <w:rFonts w:ascii="Segoe UI" w:eastAsia="Times New Roman" w:hAnsi="Segoe UI" w:cs="Segoe UI"/>
                <w:sz w:val="20"/>
                <w:szCs w:val="20"/>
                <w:lang w:eastAsia="es-CO"/>
              </w:rPr>
              <w:t>20 de junio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eastAsia="Times New Roman"/>
                <w:szCs w:val="24"/>
                <w:lang w:eastAsia="es-CO"/>
              </w:rPr>
            </w:pPr>
            <w:r w:rsidRPr="009025BB">
              <w:rPr>
                <w:rFonts w:ascii="Segoe UI" w:eastAsia="Times New Roman" w:hAnsi="Segoe UI" w:cs="Segoe UI"/>
                <w:sz w:val="20"/>
                <w:szCs w:val="20"/>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eastAsia="Times New Roman"/>
                <w:szCs w:val="24"/>
                <w:lang w:eastAsia="es-CO"/>
              </w:rPr>
            </w:pPr>
            <w:r w:rsidRPr="009025BB">
              <w:rPr>
                <w:rFonts w:ascii="Segoe UI" w:eastAsia="Times New Roman" w:hAnsi="Segoe UI" w:cs="Segoe UI"/>
                <w:sz w:val="20"/>
                <w:szCs w:val="20"/>
                <w:lang w:eastAsia="es-CO"/>
              </w:rPr>
              <w:t>24 de junio de 2014</w:t>
            </w:r>
          </w:p>
        </w:tc>
      </w:tr>
    </w:tbl>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b/>
          <w:bCs/>
          <w:sz w:val="18"/>
          <w:szCs w:val="18"/>
          <w:lang w:eastAsia="es-CO"/>
        </w:rPr>
        <w:t>Parágrafo. </w:t>
      </w:r>
      <w:r w:rsidRPr="009025BB">
        <w:rPr>
          <w:rFonts w:ascii="Segoe UI" w:eastAsia="Times New Roman" w:hAnsi="Segoe UI" w:cs="Segoe UI"/>
          <w:sz w:val="18"/>
          <w:szCs w:val="18"/>
          <w:lang w:eastAsia="es-CO"/>
        </w:rPr>
        <w:t>El valor de la primera cuota no podrá ser inferior al 20% del saldo a pagar del año gravable 2012. Una vez liquidado el impuesto y el anticipo definitivo en la respectiva declaración, del valor a pagar, se restará lo pagado en la primera cuota y el saldo se cancelará de la siguiente manera, de acuerdo con la cuota de pago así:</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tbl>
      <w:tblPr>
        <w:tblW w:w="0" w:type="auto"/>
        <w:tblInd w:w="284" w:type="dxa"/>
        <w:tblCellMar>
          <w:left w:w="0" w:type="dxa"/>
          <w:right w:w="0" w:type="dxa"/>
        </w:tblCellMar>
        <w:tblLook w:val="04A0" w:firstRow="1" w:lastRow="0" w:firstColumn="1" w:lastColumn="0" w:noHBand="0" w:noVBand="1"/>
      </w:tblPr>
      <w:tblGrid>
        <w:gridCol w:w="2300"/>
        <w:gridCol w:w="596"/>
      </w:tblGrid>
      <w:tr w:rsidR="00716A94" w:rsidRPr="009025BB" w:rsidTr="009025BB">
        <w:tc>
          <w:tcPr>
            <w:tcW w:w="0" w:type="auto"/>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eastAsia="Times New Roman"/>
                <w:szCs w:val="24"/>
                <w:lang w:eastAsia="es-CO"/>
              </w:rPr>
            </w:pPr>
            <w:r w:rsidRPr="009025BB">
              <w:rPr>
                <w:rFonts w:ascii="Segoe UI" w:eastAsia="Times New Roman" w:hAnsi="Segoe UI" w:cs="Segoe UI"/>
                <w:b/>
                <w:bCs/>
                <w:sz w:val="20"/>
                <w:szCs w:val="20"/>
                <w:lang w:eastAsia="es-CO"/>
              </w:rPr>
              <w:t>DECLARACIÓN Y PAGO</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SEGUNDA CUOTA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50%</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PAGO TERCERA CUOTA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50%</w:t>
            </w:r>
          </w:p>
        </w:tc>
      </w:tr>
    </w:tbl>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22"/>
          <w:lang w:eastAsia="es-CO"/>
        </w:rPr>
        <w:t>No obstante, cuando al momento del pago de la primera cuota ya se haya elaborado la declaración y se tenga por cierto que por el año gravable 2013 arroja saldo a favor, podrá el contribuyente no efectuar el pago de la primera cuota aquí señalada, siendo de su entera responsabilidad si posteriormente al momento de la presentación se genera un saldo a pagar.</w:t>
      </w:r>
    </w:p>
    <w:p w:rsidR="009025BB" w:rsidRPr="009025BB" w:rsidRDefault="009025BB" w:rsidP="009025BB">
      <w:pPr>
        <w:spacing w:line="240" w:lineRule="auto"/>
        <w:rPr>
          <w:rFonts w:ascii="Arial" w:eastAsia="Times New Roman" w:hAnsi="Arial" w:cs="Arial"/>
          <w:sz w:val="18"/>
          <w:szCs w:val="18"/>
          <w:lang w:eastAsia="es-CO"/>
        </w:rPr>
      </w:pPr>
      <w:r w:rsidRPr="009025BB">
        <w:rPr>
          <w:rFonts w:ascii="Segoe UI" w:eastAsia="Times New Roman" w:hAnsi="Segoe UI" w:cs="Segoe UI"/>
          <w:sz w:val="22"/>
          <w:lang w:eastAsia="es-CO"/>
        </w:rPr>
        <w:t> </w:t>
      </w:r>
    </w:p>
    <w:p w:rsidR="009025BB" w:rsidRPr="009025BB" w:rsidRDefault="009025BB" w:rsidP="009025BB">
      <w:pPr>
        <w:spacing w:line="240" w:lineRule="auto"/>
        <w:rPr>
          <w:rFonts w:ascii="Arial" w:eastAsia="Times New Roman" w:hAnsi="Arial" w:cs="Arial"/>
          <w:sz w:val="18"/>
          <w:szCs w:val="18"/>
          <w:lang w:eastAsia="es-CO"/>
        </w:rPr>
      </w:pPr>
      <w:r w:rsidRPr="009025BB">
        <w:rPr>
          <w:rFonts w:ascii="Segoe UI" w:eastAsia="Times New Roman" w:hAnsi="Segoe UI" w:cs="Segoe UI"/>
          <w:b/>
          <w:bCs/>
          <w:sz w:val="22"/>
          <w:lang w:eastAsia="es-CO"/>
        </w:rPr>
        <w:t>Artículo 2°.</w:t>
      </w:r>
      <w:r w:rsidRPr="009025BB">
        <w:rPr>
          <w:rFonts w:ascii="Segoe UI" w:eastAsia="Times New Roman" w:hAnsi="Segoe UI" w:cs="Segoe UI"/>
          <w:sz w:val="22"/>
          <w:lang w:eastAsia="es-CO"/>
        </w:rPr>
        <w:t> Modifíquese el artículo 14 del Decreto número 2972 de 2013 el cual quedará así:</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22"/>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22"/>
          <w:lang w:eastAsia="es-CO"/>
        </w:rPr>
        <w:t>“</w:t>
      </w:r>
      <w:r w:rsidRPr="009025BB">
        <w:rPr>
          <w:rFonts w:ascii="Segoe UI" w:eastAsia="Times New Roman" w:hAnsi="Segoe UI" w:cs="Segoe UI"/>
          <w:b/>
          <w:bCs/>
          <w:sz w:val="22"/>
          <w:lang w:eastAsia="es-CO"/>
        </w:rPr>
        <w:t>Artículo 14. </w:t>
      </w:r>
      <w:r w:rsidRPr="009025BB">
        <w:rPr>
          <w:rFonts w:ascii="Segoe UI" w:eastAsia="Times New Roman" w:hAnsi="Segoe UI" w:cs="Segoe UI"/>
          <w:b/>
          <w:bCs/>
          <w:i/>
          <w:iCs/>
          <w:sz w:val="22"/>
          <w:lang w:eastAsia="es-CO"/>
        </w:rPr>
        <w:t>Declaración de renta y complementarios de personas naturales (empleados, trabajadores por cuenta propia y demás personas naturales y asimiladas residentes) y sucesiones ilíquidas. </w:t>
      </w:r>
      <w:r w:rsidRPr="009025BB">
        <w:rPr>
          <w:rFonts w:ascii="Segoe UI" w:eastAsia="Times New Roman" w:hAnsi="Segoe UI" w:cs="Segoe UI"/>
          <w:sz w:val="22"/>
          <w:lang w:eastAsia="es-CO"/>
        </w:rPr>
        <w:t>Por el año gravable 2013 deberán presentar la declaración del impuesto sobre la renta y complementarios, o declaración del Impuesto Mínimo Alternativo Simplificado (IMAS) cuando el contribuyente obligado a declarar opte por determinar la base gravable y declarar por este sistema, en el formulario prescrita por la Unidad Administrativa Especial Dirección de Impuestos y Aduanas Nacionales (DIAN), las personas naturales y las sucesiones ilíquidas, con excepción de las señaladas en el artículo 7° del presente decreto, así como los bienes destinados a fines especiales en virtud de donaciones y asignaciones modales, cuyos donatarios o asignatarios no los usufructúen personalmente, así como las personas naturales no residentes que obtengan renta a través de establecimientos permanentes en Colombia.</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18"/>
          <w:szCs w:val="18"/>
          <w:lang w:eastAsia="es-CO"/>
        </w:rPr>
        <w:t xml:space="preserve">El plazo para presentar la declaración y cancelar, en una sola cuota, el valor a pagar por concepto del impuesto sobre la renta y complementarios y del anticipo, </w:t>
      </w:r>
      <w:r w:rsidRPr="009025BB">
        <w:rPr>
          <w:rFonts w:ascii="Segoe UI" w:eastAsia="Times New Roman" w:hAnsi="Segoe UI" w:cs="Segoe UI"/>
          <w:b/>
          <w:sz w:val="18"/>
          <w:szCs w:val="18"/>
          <w:lang w:eastAsia="es-CO"/>
        </w:rPr>
        <w:t xml:space="preserve">se inicia el 1° de marzo de 2014 </w:t>
      </w:r>
      <w:r w:rsidRPr="009025BB">
        <w:rPr>
          <w:rFonts w:ascii="Segoe UI" w:eastAsia="Times New Roman" w:hAnsi="Segoe UI" w:cs="Segoe UI"/>
          <w:sz w:val="18"/>
          <w:szCs w:val="18"/>
          <w:lang w:eastAsia="es-CO"/>
        </w:rPr>
        <w:t>y vence en las fechas del mismo año que se indican a continuación, atendiendo los dos últimos dígitos del NIT del declarante que conste en el Certificado del Registro Único Tributario (RUT), sin tener en cuenta el dígito de verificación, así:</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tbl>
      <w:tblPr>
        <w:tblW w:w="0" w:type="auto"/>
        <w:tblInd w:w="284" w:type="dxa"/>
        <w:tblCellMar>
          <w:left w:w="0" w:type="dxa"/>
          <w:right w:w="0" w:type="dxa"/>
        </w:tblCellMar>
        <w:tblLook w:val="04A0" w:firstRow="1" w:lastRow="0" w:firstColumn="1" w:lastColumn="0" w:noHBand="0" w:noVBand="1"/>
      </w:tblPr>
      <w:tblGrid>
        <w:gridCol w:w="2040"/>
        <w:gridCol w:w="2519"/>
      </w:tblGrid>
      <w:tr w:rsidR="00716A94" w:rsidRPr="009025BB" w:rsidTr="009025BB">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Dos últimos dígitos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Hasta el día</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1° y 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12 de agosto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3 y 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13 de agosto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5 y 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14 de agosto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7 y 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15 de agosto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9 y 10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19 de agosto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11 y 12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20 de agosto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13 y 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21 de agosto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15 y 16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22 de agosto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17 y 18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25 de agosto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19 y 20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26 de agosto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21 y 22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27 de agosto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23 y 24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28 de agosto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lastRenderedPageBreak/>
              <w:t>25 y 26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29 de agosto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27 y 28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 de septiembre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29 y 30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 de septiembre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31 y 32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3 de septiembre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33 y 34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4 de septiembre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35 y 36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5 de septiembre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37 y 38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8 de septiembre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39 y 40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9 de septiembre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41 y 42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10 de septiembre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43 y 44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11 de septiembre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45 y 46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12 de septiembre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47 y 48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15 de septiembre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49 y 50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16 de septiembre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51 y 52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17 de septiembre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53 y 54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18 de septiembre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55 y 56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19 de septiembre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57 y 58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22 de septiembre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59 y 60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23 de septiembre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61 y 62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24 de septiembre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63 y 64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25 de septiembre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65 y 66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26 de septiembre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67 y 68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29 de septiembre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69 y 70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30 de septiembre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71 y 72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 de octubre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73 y 74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 de octubre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75 y 76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3 de octubre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77 y 78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6 de octubre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79 y 80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7 de octubre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81 y 82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8 de octubre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83 y 84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9 de octubre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85 y 86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10 de octubre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87 y 88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14 de octubre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89 y 90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15 de octubre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91 y 92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16 de octubre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93 y 94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17 de octubre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95 y 96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20 de octubre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97 y 98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21 de octubre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99 y 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22 de octubre de 2014</w:t>
            </w:r>
          </w:p>
        </w:tc>
      </w:tr>
    </w:tbl>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b/>
          <w:bCs/>
          <w:sz w:val="22"/>
          <w:lang w:eastAsia="es-CO"/>
        </w:rPr>
        <w:t>Parágrafo 1°.</w:t>
      </w:r>
      <w:r w:rsidRPr="009025BB">
        <w:rPr>
          <w:rFonts w:ascii="Segoe UI" w:eastAsia="Times New Roman" w:hAnsi="Segoe UI" w:cs="Segoe UI"/>
          <w:sz w:val="22"/>
          <w:lang w:eastAsia="es-CO"/>
        </w:rPr>
        <w:t> Los plazos anteriormente señalados, aplican con independencia del sistema de determinación del impuesto aplicable para las distintas categorías de contribuyentes personas naturales.</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22"/>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b/>
          <w:bCs/>
          <w:sz w:val="22"/>
          <w:lang w:eastAsia="es-CO"/>
        </w:rPr>
        <w:t>Parágrafo 2°.</w:t>
      </w:r>
      <w:r w:rsidRPr="009025BB">
        <w:rPr>
          <w:rFonts w:ascii="Segoe UI" w:eastAsia="Times New Roman" w:hAnsi="Segoe UI" w:cs="Segoe UI"/>
          <w:sz w:val="22"/>
          <w:lang w:eastAsia="es-CO"/>
        </w:rPr>
        <w:t> Las personas naturales residentes en el exterior deberán presentar la declaración de renta y complementarios en forma electrónica y dentro de los plazos antes señalados. Igualmente, el pago del impuesto y el anticipo; podrán efectuarlo electrónicamente o en los bancos y demás entidades autorizadas en el territorio colombiano dentro del mismo plazo.</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22"/>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b/>
          <w:bCs/>
          <w:sz w:val="22"/>
          <w:lang w:eastAsia="es-CO"/>
        </w:rPr>
        <w:t>Parágrafo 3°.</w:t>
      </w:r>
      <w:r w:rsidRPr="009025BB">
        <w:rPr>
          <w:rFonts w:ascii="Segoe UI" w:eastAsia="Times New Roman" w:hAnsi="Segoe UI" w:cs="Segoe UI"/>
          <w:sz w:val="22"/>
          <w:lang w:eastAsia="es-CO"/>
        </w:rPr>
        <w:t xml:space="preserve"> La liquidación privada de los contribuyentes del impuesto sobre la renta y complementarios que apliquen voluntariamente el Sistema de Impuesto Mínimo Alternativo Simple (IMAS), quedará en firme después de seis (6) meses contados a partir del momento de la presentación, siempre que sea debidamente presentada en forma oportuna, el pago se realice en los plazos que para tal efecto fije el presente </w:t>
      </w:r>
      <w:r w:rsidRPr="009025BB">
        <w:rPr>
          <w:rFonts w:ascii="Segoe UI" w:eastAsia="Times New Roman" w:hAnsi="Segoe UI" w:cs="Segoe UI"/>
          <w:sz w:val="22"/>
          <w:lang w:eastAsia="es-CO"/>
        </w:rPr>
        <w:lastRenderedPageBreak/>
        <w:t>Decreto y que la Administración no tenga prueba sumaria sobre la ocurrencia de fraude mediante la utilización de documentos o información falsa en los conceptos de ingresos, aportes a la seguridad social, pagos catastróficos y pérdidas por calamidades, u otros.</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22"/>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22"/>
          <w:lang w:eastAsia="es-CO"/>
        </w:rPr>
        <w:t>Los contribuyentes que opten por aplicar voluntariamente el IMAS, no estarán obligados a presentar la declaración del Impuesto sobre la Renta establecida en el régimen ordinario.</w:t>
      </w:r>
    </w:p>
    <w:p w:rsidR="009025BB" w:rsidRPr="009025BB" w:rsidRDefault="009025BB" w:rsidP="009025BB">
      <w:pPr>
        <w:spacing w:line="240" w:lineRule="auto"/>
        <w:rPr>
          <w:rFonts w:ascii="Arial" w:eastAsia="Times New Roman" w:hAnsi="Arial" w:cs="Arial"/>
          <w:sz w:val="18"/>
          <w:szCs w:val="18"/>
          <w:lang w:eastAsia="es-CO"/>
        </w:rPr>
      </w:pPr>
      <w:r w:rsidRPr="009025BB">
        <w:rPr>
          <w:rFonts w:ascii="Segoe UI" w:eastAsia="Times New Roman" w:hAnsi="Segoe UI" w:cs="Segoe UI"/>
          <w:sz w:val="22"/>
          <w:lang w:eastAsia="es-CO"/>
        </w:rPr>
        <w:t> </w:t>
      </w:r>
    </w:p>
    <w:p w:rsidR="009025BB" w:rsidRPr="009025BB" w:rsidRDefault="009025BB" w:rsidP="009025BB">
      <w:pPr>
        <w:spacing w:line="240" w:lineRule="auto"/>
        <w:rPr>
          <w:rFonts w:ascii="Arial" w:eastAsia="Times New Roman" w:hAnsi="Arial" w:cs="Arial"/>
          <w:sz w:val="18"/>
          <w:szCs w:val="18"/>
          <w:lang w:eastAsia="es-CO"/>
        </w:rPr>
      </w:pPr>
      <w:r w:rsidRPr="009025BB">
        <w:rPr>
          <w:rFonts w:ascii="Segoe UI" w:eastAsia="Times New Roman" w:hAnsi="Segoe UI" w:cs="Segoe UI"/>
          <w:b/>
          <w:bCs/>
          <w:sz w:val="22"/>
          <w:lang w:eastAsia="es-CO"/>
        </w:rPr>
        <w:t>Artículo 3°.</w:t>
      </w:r>
      <w:r w:rsidRPr="009025BB">
        <w:rPr>
          <w:rFonts w:ascii="Segoe UI" w:eastAsia="Times New Roman" w:hAnsi="Segoe UI" w:cs="Segoe UI"/>
          <w:sz w:val="22"/>
          <w:lang w:eastAsia="es-CO"/>
        </w:rPr>
        <w:t> Modifíquese el artículo 21 del Decreto número 2972 de 2013, el cual quedará así:</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22"/>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22"/>
          <w:lang w:eastAsia="es-CO"/>
        </w:rPr>
        <w:t>“</w:t>
      </w:r>
      <w:r w:rsidRPr="009025BB">
        <w:rPr>
          <w:rFonts w:ascii="Segoe UI" w:eastAsia="Times New Roman" w:hAnsi="Segoe UI" w:cs="Segoe UI"/>
          <w:b/>
          <w:bCs/>
          <w:sz w:val="22"/>
          <w:lang w:eastAsia="es-CO"/>
        </w:rPr>
        <w:t>Artículo 21</w:t>
      </w:r>
      <w:r w:rsidRPr="009025BB">
        <w:rPr>
          <w:rFonts w:ascii="Segoe UI" w:eastAsia="Times New Roman" w:hAnsi="Segoe UI" w:cs="Segoe UI"/>
          <w:sz w:val="22"/>
          <w:lang w:eastAsia="es-CO"/>
        </w:rPr>
        <w:t>. </w:t>
      </w:r>
      <w:r w:rsidRPr="009025BB">
        <w:rPr>
          <w:rFonts w:ascii="Segoe UI" w:eastAsia="Times New Roman" w:hAnsi="Segoe UI" w:cs="Segoe UI"/>
          <w:b/>
          <w:bCs/>
          <w:i/>
          <w:iCs/>
          <w:sz w:val="22"/>
          <w:lang w:eastAsia="es-CO"/>
        </w:rPr>
        <w:t>Plazos</w:t>
      </w:r>
      <w:r w:rsidRPr="009025BB">
        <w:rPr>
          <w:rFonts w:ascii="Segoe UI" w:eastAsia="Times New Roman" w:hAnsi="Segoe UI" w:cs="Segoe UI"/>
          <w:sz w:val="22"/>
          <w:lang w:eastAsia="es-CO"/>
        </w:rPr>
        <w:t>. Los plazos para presentar la declaración del impuesto sobre la renta para la equidad – CREE y para cancelar en dos (2) cuotas iguales el valor por concepto de este impuesto, vence en las fechas que se indican a co</w:t>
      </w:r>
      <w:r w:rsidR="00955FA0" w:rsidRPr="00716A94">
        <w:rPr>
          <w:rFonts w:ascii="Segoe UI" w:eastAsia="Times New Roman" w:hAnsi="Segoe UI" w:cs="Segoe UI"/>
          <w:sz w:val="22"/>
          <w:lang w:eastAsia="es-CO"/>
        </w:rPr>
        <w:t>ntinuación, atendiendo al</w:t>
      </w:r>
      <w:r w:rsidRPr="009025BB">
        <w:rPr>
          <w:rFonts w:ascii="Segoe UI" w:eastAsia="Times New Roman" w:hAnsi="Segoe UI" w:cs="Segoe UI"/>
          <w:sz w:val="22"/>
          <w:lang w:eastAsia="es-CO"/>
        </w:rPr>
        <w:t xml:space="preserve"> último dígito del NIT del declarante que conste en el Certificado del Registro Único Tributario (RUT), sin tener en cuenta el dígito de verificación, así:</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b/>
          <w:bCs/>
          <w:sz w:val="18"/>
          <w:szCs w:val="18"/>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b/>
          <w:bCs/>
          <w:sz w:val="18"/>
          <w:szCs w:val="18"/>
          <w:lang w:eastAsia="es-CO"/>
        </w:rPr>
        <w:t>DECLARACIÓN Y PAGO PRIMERA CUOTA</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b/>
          <w:bCs/>
          <w:sz w:val="18"/>
          <w:szCs w:val="18"/>
          <w:lang w:eastAsia="es-CO"/>
        </w:rPr>
        <w:t> </w:t>
      </w:r>
    </w:p>
    <w:tbl>
      <w:tblPr>
        <w:tblW w:w="0" w:type="auto"/>
        <w:tblInd w:w="284" w:type="dxa"/>
        <w:tblCellMar>
          <w:left w:w="0" w:type="dxa"/>
          <w:right w:w="0" w:type="dxa"/>
        </w:tblCellMar>
        <w:tblLook w:val="04A0" w:firstRow="1" w:lastRow="0" w:firstColumn="1" w:lastColumn="0" w:noHBand="0" w:noVBand="1"/>
      </w:tblPr>
      <w:tblGrid>
        <w:gridCol w:w="2147"/>
        <w:gridCol w:w="1913"/>
      </w:tblGrid>
      <w:tr w:rsidR="00716A94" w:rsidRPr="009025BB" w:rsidTr="009025BB">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Hasta el día</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8 de abril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9 de abril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10 de abril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11 de abril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14 de abril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15 de abril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21 de abril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22 de abril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23 de abril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24 de abril de 2014</w:t>
            </w:r>
          </w:p>
        </w:tc>
      </w:tr>
    </w:tbl>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b/>
          <w:bCs/>
          <w:sz w:val="18"/>
          <w:szCs w:val="18"/>
          <w:lang w:eastAsia="es-CO"/>
        </w:rPr>
        <w:t>PAGO SEGUNDA CUOTA</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b/>
          <w:bCs/>
          <w:sz w:val="18"/>
          <w:szCs w:val="18"/>
          <w:lang w:eastAsia="es-CO"/>
        </w:rPr>
        <w:t> </w:t>
      </w:r>
    </w:p>
    <w:tbl>
      <w:tblPr>
        <w:tblW w:w="0" w:type="auto"/>
        <w:tblInd w:w="284" w:type="dxa"/>
        <w:tblCellMar>
          <w:left w:w="0" w:type="dxa"/>
          <w:right w:w="0" w:type="dxa"/>
        </w:tblCellMar>
        <w:tblLook w:val="04A0" w:firstRow="1" w:lastRow="0" w:firstColumn="1" w:lastColumn="0" w:noHBand="0" w:noVBand="1"/>
      </w:tblPr>
      <w:tblGrid>
        <w:gridCol w:w="2147"/>
        <w:gridCol w:w="1968"/>
      </w:tblGrid>
      <w:tr w:rsidR="00716A94" w:rsidRPr="009025BB" w:rsidTr="009025BB">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Hasta el día</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10 de junio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11 de junio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12 de junio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13 de junio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16 de junio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17 de junio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18 de junio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19 de junio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20 de junio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24 de junio de 2014</w:t>
            </w:r>
          </w:p>
        </w:tc>
      </w:tr>
    </w:tbl>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b/>
          <w:bCs/>
          <w:sz w:val="22"/>
          <w:lang w:eastAsia="es-CO"/>
        </w:rPr>
        <w:t>Parágrafo 1°. </w:t>
      </w:r>
      <w:r w:rsidRPr="009025BB">
        <w:rPr>
          <w:rFonts w:ascii="Segoe UI" w:eastAsia="Times New Roman" w:hAnsi="Segoe UI" w:cs="Segoe UI"/>
          <w:sz w:val="22"/>
          <w:lang w:eastAsia="es-CO"/>
        </w:rPr>
        <w:t>Las sucursales y demás establecimientos permanentes de sociedades y entidades extranjeras, que presten en forma regular el servicio de transporte aéreo, marítimo, terrestre o fluvial entre lugares colombianos y extranjeros, pueden presentar la declaración del impuesto sobre la renta para la equidad – CREE por el año gravable 2013 y cancelar en una sola cuota el impuesto a cargo hasta el 17 de octubre de 2014, cualquiera sea el último dígito del NIT del declarante que conste en el certificado del Registro Único Tributario (sin tener en cuenta dígito de verificación).</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22"/>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22"/>
          <w:lang w:eastAsia="es-CO"/>
        </w:rPr>
        <w:lastRenderedPageBreak/>
        <w:t>Lo anterior debe entenderse sin perjuicio de lo previsto en los tratados internacionales que se encuentren en vigor.</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22"/>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b/>
          <w:bCs/>
          <w:sz w:val="22"/>
          <w:lang w:eastAsia="es-CO"/>
        </w:rPr>
        <w:t>Parágrafo 2°.</w:t>
      </w:r>
      <w:r w:rsidRPr="009025BB">
        <w:rPr>
          <w:rFonts w:ascii="Segoe UI" w:eastAsia="Times New Roman" w:hAnsi="Segoe UI" w:cs="Segoe UI"/>
          <w:sz w:val="22"/>
          <w:lang w:eastAsia="es-CO"/>
        </w:rPr>
        <w:t> En los casos de constitución de una persona jurídica durante el ejercicio, el período gravable empieza desde la fecha del registro del acto de constitución en la correspondiente cámara de comercio. En los casos de liquidación, el año gravable concluye en la fecha en que se efectúe la aprobación de la respectiva acta de liquidación, cuando estén sometidas a la vigilancia del Estado, o en la fecha en que finalizó la liquidación de conformidad con el último asiento de cierre de la contabilidad; cuando no estén sometidas a vigilancia del Estado.”</w:t>
      </w:r>
    </w:p>
    <w:p w:rsidR="009025BB" w:rsidRPr="009025BB" w:rsidRDefault="009025BB" w:rsidP="009025BB">
      <w:pPr>
        <w:spacing w:line="240" w:lineRule="auto"/>
        <w:rPr>
          <w:rFonts w:ascii="Arial" w:eastAsia="Times New Roman" w:hAnsi="Arial" w:cs="Arial"/>
          <w:sz w:val="18"/>
          <w:szCs w:val="18"/>
          <w:lang w:eastAsia="es-CO"/>
        </w:rPr>
      </w:pPr>
      <w:r w:rsidRPr="009025BB">
        <w:rPr>
          <w:rFonts w:ascii="Segoe UI" w:eastAsia="Times New Roman" w:hAnsi="Segoe UI" w:cs="Segoe UI"/>
          <w:sz w:val="22"/>
          <w:lang w:eastAsia="es-CO"/>
        </w:rPr>
        <w:t> </w:t>
      </w:r>
    </w:p>
    <w:p w:rsidR="009025BB" w:rsidRPr="009025BB" w:rsidRDefault="009025BB" w:rsidP="009025BB">
      <w:pPr>
        <w:spacing w:line="240" w:lineRule="auto"/>
        <w:rPr>
          <w:rFonts w:ascii="Arial" w:eastAsia="Times New Roman" w:hAnsi="Arial" w:cs="Arial"/>
          <w:sz w:val="18"/>
          <w:szCs w:val="18"/>
          <w:lang w:eastAsia="es-CO"/>
        </w:rPr>
      </w:pPr>
      <w:r w:rsidRPr="009025BB">
        <w:rPr>
          <w:rFonts w:ascii="Segoe UI" w:eastAsia="Times New Roman" w:hAnsi="Segoe UI" w:cs="Segoe UI"/>
          <w:b/>
          <w:bCs/>
          <w:sz w:val="22"/>
          <w:lang w:eastAsia="es-CO"/>
        </w:rPr>
        <w:t>Artículo 4°.</w:t>
      </w:r>
      <w:r w:rsidRPr="009025BB">
        <w:rPr>
          <w:rFonts w:ascii="Segoe UI" w:eastAsia="Times New Roman" w:hAnsi="Segoe UI" w:cs="Segoe UI"/>
          <w:sz w:val="22"/>
          <w:lang w:eastAsia="es-CO"/>
        </w:rPr>
        <w:t> Modifíquese el artículo 25 del Decreto número 2972 de 2013, el cual quedará así:</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22"/>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22"/>
          <w:lang w:eastAsia="es-CO"/>
        </w:rPr>
        <w:t>“</w:t>
      </w:r>
      <w:r w:rsidRPr="009025BB">
        <w:rPr>
          <w:rFonts w:ascii="Segoe UI" w:eastAsia="Times New Roman" w:hAnsi="Segoe UI" w:cs="Segoe UI"/>
          <w:b/>
          <w:bCs/>
          <w:sz w:val="22"/>
          <w:lang w:eastAsia="es-CO"/>
        </w:rPr>
        <w:t>Artículo 25. </w:t>
      </w:r>
      <w:r w:rsidRPr="009025BB">
        <w:rPr>
          <w:rFonts w:ascii="Segoe UI" w:eastAsia="Times New Roman" w:hAnsi="Segoe UI" w:cs="Segoe UI"/>
          <w:b/>
          <w:bCs/>
          <w:i/>
          <w:iCs/>
          <w:sz w:val="22"/>
          <w:lang w:eastAsia="es-CO"/>
        </w:rPr>
        <w:t>Declaración y pago bimestral del impuesto sobre las ventas. </w:t>
      </w:r>
      <w:r w:rsidRPr="009025BB">
        <w:rPr>
          <w:rFonts w:ascii="Segoe UI" w:eastAsia="Times New Roman" w:hAnsi="Segoe UI" w:cs="Segoe UI"/>
          <w:sz w:val="22"/>
          <w:lang w:eastAsia="es-CO"/>
        </w:rPr>
        <w:t>Los responsables de este impuesto, grandes contribuyentes y aquellas personas jurídicas y naturales cuyos ingresos brutos a 31 de diciembre del año gravable 2013, sean iguales o superiores a noventa y dos mil (92.000) UVT, ($2.469.372.000) así como los responsables de que tratan los artículos </w:t>
      </w:r>
      <w:hyperlink r:id="rId8" w:tooltip="Estatuto Tributario CETA" w:history="1">
        <w:r w:rsidRPr="009025BB">
          <w:rPr>
            <w:rFonts w:ascii="Segoe UI" w:eastAsia="Times New Roman" w:hAnsi="Segoe UI" w:cs="Segoe UI"/>
            <w:sz w:val="22"/>
            <w:lang w:eastAsia="es-CO"/>
          </w:rPr>
          <w:t>477</w:t>
        </w:r>
      </w:hyperlink>
      <w:r w:rsidRPr="009025BB">
        <w:rPr>
          <w:rFonts w:ascii="Segoe UI" w:eastAsia="Times New Roman" w:hAnsi="Segoe UI" w:cs="Segoe UI"/>
          <w:sz w:val="22"/>
          <w:lang w:eastAsia="es-CO"/>
        </w:rPr>
        <w:t> y </w:t>
      </w:r>
      <w:hyperlink r:id="rId9" w:tooltip="Estatuto Tributario CETA" w:history="1">
        <w:r w:rsidRPr="009025BB">
          <w:rPr>
            <w:rFonts w:ascii="Segoe UI" w:eastAsia="Times New Roman" w:hAnsi="Segoe UI" w:cs="Segoe UI"/>
            <w:sz w:val="22"/>
            <w:lang w:eastAsia="es-CO"/>
          </w:rPr>
          <w:t>481</w:t>
        </w:r>
      </w:hyperlink>
      <w:r w:rsidRPr="009025BB">
        <w:rPr>
          <w:rFonts w:ascii="Segoe UI" w:eastAsia="Times New Roman" w:hAnsi="Segoe UI" w:cs="Segoe UI"/>
          <w:sz w:val="22"/>
          <w:lang w:eastAsia="es-CO"/>
        </w:rPr>
        <w:t> del Estatuto Tributario, deberán presentar la declaración del impuesto sobre las ventas y pagar de manera bimestral utilizando el formulario prescrito por la Unidad Administrativa Especial Dirección de Impuestos y Aduanas Nacionales (DIAN).</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22"/>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22"/>
          <w:lang w:eastAsia="es-CO"/>
        </w:rPr>
        <w:t>Los períodos bimestrales son: enero-febrero; marzo-abril; mayo-junio; julio-agosto; septiembre-octubre; y noviembre-diciembre.</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18"/>
          <w:szCs w:val="18"/>
          <w:lang w:eastAsia="es-CO"/>
        </w:rPr>
        <w:t>Los vencimientos, de acuerdo con el último dígito del MT del responsable, que conste en el Certificado del Registro Único Tributario (RUT), sin tener en cuenta el dígito de verificación, serán los siguientes:</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tbl>
      <w:tblPr>
        <w:tblW w:w="0" w:type="auto"/>
        <w:tblInd w:w="284" w:type="dxa"/>
        <w:tblCellMar>
          <w:left w:w="0" w:type="dxa"/>
          <w:right w:w="0" w:type="dxa"/>
        </w:tblCellMar>
        <w:tblLook w:val="04A0" w:firstRow="1" w:lastRow="0" w:firstColumn="1" w:lastColumn="0" w:noHBand="0" w:noVBand="1"/>
      </w:tblPr>
      <w:tblGrid>
        <w:gridCol w:w="1319"/>
        <w:gridCol w:w="2260"/>
        <w:gridCol w:w="2556"/>
        <w:gridCol w:w="2586"/>
      </w:tblGrid>
      <w:tr w:rsidR="00716A94" w:rsidRPr="009025BB" w:rsidTr="009025BB">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Bimestre enero-febrero 2014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Bimestre marzo-abril 2014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Bimestre mayo-junio 2014 hasta el día</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11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9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8 de julio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12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12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9 de julio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13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13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10 de julio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14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14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11 de julio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17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15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14 de julio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18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16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15 de julio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19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19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16 de julio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20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20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17 de julio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21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21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18 de julio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25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22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21 de julio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Si el último dígito 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Bimestre julio-agosto 2014 hasta el día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Bimestre septiembre-octubre 2014 hasta el día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Bimestre noviembre-diciembre 2014 hasta el día</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8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11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14 de enero de 2015</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9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12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15 de enero de 2015</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10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13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16 de enero de 2015</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11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14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19 de enero de 2015</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12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18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20 de enero de 2015</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 xml:space="preserve">15 de septiembre de </w:t>
            </w:r>
            <w:r w:rsidRPr="009025BB">
              <w:rPr>
                <w:rFonts w:ascii="Segoe UI" w:eastAsia="Times New Roman" w:hAnsi="Segoe UI" w:cs="Segoe UI"/>
                <w:sz w:val="20"/>
                <w:szCs w:val="20"/>
                <w:lang w:eastAsia="es-CO"/>
              </w:rPr>
              <w:lastRenderedPageBreak/>
              <w:t>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lastRenderedPageBreak/>
              <w:t>19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21 de enero de 2015</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lastRenderedPageBreak/>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16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20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22 de enero de 2015</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17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21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23 de enero de 2015</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18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24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26 de enero de 2015</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19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25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27 de enero de 2015</w:t>
            </w:r>
          </w:p>
        </w:tc>
      </w:tr>
    </w:tbl>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ind w:left="284"/>
        <w:rPr>
          <w:rFonts w:ascii="Arial" w:eastAsia="Times New Roman" w:hAnsi="Arial" w:cs="Arial"/>
          <w:b/>
          <w:sz w:val="18"/>
          <w:szCs w:val="18"/>
          <w:lang w:eastAsia="es-CO"/>
        </w:rPr>
      </w:pPr>
      <w:r w:rsidRPr="009025BB">
        <w:rPr>
          <w:rFonts w:ascii="Segoe UI" w:eastAsia="Times New Roman" w:hAnsi="Segoe UI" w:cs="Segoe UI"/>
          <w:b/>
          <w:bCs/>
          <w:szCs w:val="24"/>
          <w:lang w:eastAsia="es-CO"/>
        </w:rPr>
        <w:t>Parágrafo. </w:t>
      </w:r>
      <w:r w:rsidRPr="009025BB">
        <w:rPr>
          <w:rFonts w:ascii="Segoe UI" w:eastAsia="Times New Roman" w:hAnsi="Segoe UI" w:cs="Segoe UI"/>
          <w:b/>
          <w:szCs w:val="24"/>
          <w:lang w:eastAsia="es-CO"/>
        </w:rPr>
        <w:t xml:space="preserve">Para los responsables del Impuesto sobre las Ventas por la prestación de servicios financieros y las empresas de transporte aéreo regular, que en el año 2013 se les autorizó el plazo especial de </w:t>
      </w:r>
      <w:proofErr w:type="spellStart"/>
      <w:r w:rsidRPr="009025BB">
        <w:rPr>
          <w:rFonts w:ascii="Segoe UI" w:eastAsia="Times New Roman" w:hAnsi="Segoe UI" w:cs="Segoe UI"/>
          <w:b/>
          <w:szCs w:val="24"/>
          <w:lang w:eastAsia="es-CO"/>
        </w:rPr>
        <w:t>que</w:t>
      </w:r>
      <w:proofErr w:type="spellEnd"/>
      <w:r w:rsidRPr="009025BB">
        <w:rPr>
          <w:rFonts w:ascii="Segoe UI" w:eastAsia="Times New Roman" w:hAnsi="Segoe UI" w:cs="Segoe UI"/>
          <w:b/>
          <w:szCs w:val="24"/>
          <w:lang w:eastAsia="es-CO"/>
        </w:rPr>
        <w:t xml:space="preserve"> trata el parágrafo 1° del artículo 23 del Decreto número 2634 de 2012, el plazo para presentar la declaración bimestral del impuesto sobre las ventas y cancelar el valor a pagar vencerá en las siguientes fechas:</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19"/>
          <w:szCs w:val="19"/>
          <w:lang w:eastAsia="es-CO"/>
        </w:rPr>
        <w:t> </w:t>
      </w:r>
    </w:p>
    <w:tbl>
      <w:tblPr>
        <w:tblW w:w="0" w:type="auto"/>
        <w:tblInd w:w="284" w:type="dxa"/>
        <w:tblCellMar>
          <w:left w:w="0" w:type="dxa"/>
          <w:right w:w="0" w:type="dxa"/>
        </w:tblCellMar>
        <w:tblLook w:val="04A0" w:firstRow="1" w:lastRow="0" w:firstColumn="1" w:lastColumn="0" w:noHBand="0" w:noVBand="1"/>
      </w:tblPr>
      <w:tblGrid>
        <w:gridCol w:w="2690"/>
        <w:gridCol w:w="2986"/>
        <w:gridCol w:w="3045"/>
      </w:tblGrid>
      <w:tr w:rsidR="00716A94" w:rsidRPr="009025BB" w:rsidTr="009025BB">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Bimestre enero-febrero 2014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Bimestre marzo-abril 2014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Bimestre mayo-junio 2014 hasta el día</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25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26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25 de julio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Bimestre julio-agosto de 2014 hasta el día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Bimestre septiembre-octubre 2014 hasta el día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Bimestre noviembre-diciembre 2014 hasta el día</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25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25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26 de enero de 2015</w:t>
            </w:r>
          </w:p>
        </w:tc>
      </w:tr>
    </w:tbl>
    <w:p w:rsidR="009025BB" w:rsidRPr="009025BB" w:rsidRDefault="009025BB" w:rsidP="009025BB">
      <w:pPr>
        <w:spacing w:line="240" w:lineRule="auto"/>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rPr>
          <w:rFonts w:ascii="Arial" w:eastAsia="Times New Roman" w:hAnsi="Arial" w:cs="Arial"/>
          <w:sz w:val="18"/>
          <w:szCs w:val="18"/>
          <w:lang w:eastAsia="es-CO"/>
        </w:rPr>
      </w:pPr>
      <w:r w:rsidRPr="009025BB">
        <w:rPr>
          <w:rFonts w:ascii="Segoe UI" w:eastAsia="Times New Roman" w:hAnsi="Segoe UI" w:cs="Segoe UI"/>
          <w:b/>
          <w:bCs/>
          <w:sz w:val="22"/>
          <w:lang w:eastAsia="es-CO"/>
        </w:rPr>
        <w:t>Artículo 5°.</w:t>
      </w:r>
      <w:r w:rsidRPr="009025BB">
        <w:rPr>
          <w:rFonts w:ascii="Segoe UI" w:eastAsia="Times New Roman" w:hAnsi="Segoe UI" w:cs="Segoe UI"/>
          <w:sz w:val="22"/>
          <w:lang w:eastAsia="es-CO"/>
        </w:rPr>
        <w:t> Modifíquese artículo 33 del Decreto número 2972 de 2013; el cual quedará así:</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b/>
          <w:bCs/>
          <w:sz w:val="22"/>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b/>
          <w:bCs/>
          <w:sz w:val="22"/>
          <w:lang w:eastAsia="es-CO"/>
        </w:rPr>
        <w:t>Artículo 33. </w:t>
      </w:r>
      <w:r w:rsidRPr="009025BB">
        <w:rPr>
          <w:rFonts w:ascii="Segoe UI" w:eastAsia="Times New Roman" w:hAnsi="Segoe UI" w:cs="Segoe UI"/>
          <w:b/>
          <w:bCs/>
          <w:i/>
          <w:iCs/>
          <w:sz w:val="22"/>
          <w:lang w:eastAsia="es-CO"/>
        </w:rPr>
        <w:t>Declaración mensual de retenciones en la fuente</w:t>
      </w:r>
      <w:r w:rsidRPr="009025BB">
        <w:rPr>
          <w:rFonts w:ascii="Segoe UI" w:eastAsia="Times New Roman" w:hAnsi="Segoe UI" w:cs="Segoe UI"/>
          <w:b/>
          <w:bCs/>
          <w:sz w:val="22"/>
          <w:lang w:eastAsia="es-CO"/>
        </w:rPr>
        <w:t>. </w:t>
      </w:r>
      <w:r w:rsidRPr="009025BB">
        <w:rPr>
          <w:rFonts w:ascii="Segoe UI" w:eastAsia="Times New Roman" w:hAnsi="Segoe UI" w:cs="Segoe UI"/>
          <w:sz w:val="22"/>
          <w:lang w:eastAsia="es-CO"/>
        </w:rPr>
        <w:t>Los agentes de retención del impuesto sobre la renta y complementarios, y/o impuesto de timbre, y/o impuesto sobre las ventas a que se refieren los artículos </w:t>
      </w:r>
      <w:hyperlink r:id="rId10" w:tooltip="Estatuto Tributario CETA" w:history="1">
        <w:r w:rsidRPr="009025BB">
          <w:rPr>
            <w:rFonts w:ascii="Segoe UI" w:eastAsia="Times New Roman" w:hAnsi="Segoe UI" w:cs="Segoe UI"/>
            <w:sz w:val="22"/>
            <w:lang w:eastAsia="es-CO"/>
          </w:rPr>
          <w:t>368</w:t>
        </w:r>
      </w:hyperlink>
      <w:r w:rsidRPr="009025BB">
        <w:rPr>
          <w:rFonts w:ascii="Segoe UI" w:eastAsia="Times New Roman" w:hAnsi="Segoe UI" w:cs="Segoe UI"/>
          <w:sz w:val="22"/>
          <w:lang w:eastAsia="es-CO"/>
        </w:rPr>
        <w:t>, </w:t>
      </w:r>
      <w:hyperlink r:id="rId11" w:tooltip="Estatuto Tributario CETA" w:history="1">
        <w:r w:rsidRPr="009025BB">
          <w:rPr>
            <w:rFonts w:ascii="Segoe UI" w:eastAsia="Times New Roman" w:hAnsi="Segoe UI" w:cs="Segoe UI"/>
            <w:sz w:val="22"/>
            <w:lang w:eastAsia="es-CO"/>
          </w:rPr>
          <w:t>368-1</w:t>
        </w:r>
      </w:hyperlink>
      <w:r w:rsidRPr="009025BB">
        <w:rPr>
          <w:rFonts w:ascii="Segoe UI" w:eastAsia="Times New Roman" w:hAnsi="Segoe UI" w:cs="Segoe UI"/>
          <w:sz w:val="22"/>
          <w:lang w:eastAsia="es-CO"/>
        </w:rPr>
        <w:t>, </w:t>
      </w:r>
      <w:hyperlink r:id="rId12" w:tooltip="Estatuto Tributario CETA" w:history="1">
        <w:r w:rsidRPr="009025BB">
          <w:rPr>
            <w:rFonts w:ascii="Segoe UI" w:eastAsia="Times New Roman" w:hAnsi="Segoe UI" w:cs="Segoe UI"/>
            <w:sz w:val="22"/>
            <w:lang w:eastAsia="es-CO"/>
          </w:rPr>
          <w:t>368-2</w:t>
        </w:r>
      </w:hyperlink>
      <w:r w:rsidRPr="009025BB">
        <w:rPr>
          <w:rFonts w:ascii="Segoe UI" w:eastAsia="Times New Roman" w:hAnsi="Segoe UI" w:cs="Segoe UI"/>
          <w:sz w:val="22"/>
          <w:lang w:eastAsia="es-CO"/>
        </w:rPr>
        <w:t>, </w:t>
      </w:r>
      <w:hyperlink r:id="rId13" w:tooltip="Estatuto Tributario CETA" w:history="1">
        <w:r w:rsidRPr="009025BB">
          <w:rPr>
            <w:rFonts w:ascii="Segoe UI" w:eastAsia="Times New Roman" w:hAnsi="Segoe UI" w:cs="Segoe UI"/>
            <w:sz w:val="22"/>
            <w:lang w:eastAsia="es-CO"/>
          </w:rPr>
          <w:t>437-2</w:t>
        </w:r>
      </w:hyperlink>
      <w:r w:rsidRPr="009025BB">
        <w:rPr>
          <w:rFonts w:ascii="Segoe UI" w:eastAsia="Times New Roman" w:hAnsi="Segoe UI" w:cs="Segoe UI"/>
          <w:sz w:val="22"/>
          <w:lang w:eastAsia="es-CO"/>
        </w:rPr>
        <w:t> y </w:t>
      </w:r>
      <w:hyperlink r:id="rId14" w:tooltip="Estatuto Tributario CETA" w:history="1">
        <w:r w:rsidRPr="009025BB">
          <w:rPr>
            <w:rFonts w:ascii="Segoe UI" w:eastAsia="Times New Roman" w:hAnsi="Segoe UI" w:cs="Segoe UI"/>
            <w:sz w:val="22"/>
            <w:lang w:eastAsia="es-CO"/>
          </w:rPr>
          <w:t>518</w:t>
        </w:r>
      </w:hyperlink>
      <w:r w:rsidRPr="009025BB">
        <w:rPr>
          <w:rFonts w:ascii="Segoe UI" w:eastAsia="Times New Roman" w:hAnsi="Segoe UI" w:cs="Segoe UI"/>
          <w:sz w:val="22"/>
          <w:lang w:eastAsia="es-CO"/>
        </w:rPr>
        <w:t> del Estatuto Tributario, deberán declarar y pagar las retenciones efectuadas en cada mes, en el formulario prescrito por la Unidad Administrativa Especial Dirección de Impuestos y Aduanas Nacionales (DIAN).</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18"/>
          <w:szCs w:val="18"/>
          <w:lang w:eastAsia="es-CO"/>
        </w:rPr>
        <w:t>Los plazos para presentar las declaraciones de retención en la fuente correspondientes a los meses del año 2014 y cancelar el valor respectivo, vencen en las fechas del mismo año que se indican a continuación, excepto la referida al mes de diciembre que vence en el año 2015. Estos vencimientos corresponden al último dígito del NIT del agente retenedor, que conste en el Certificado del Registro Único Tributario (RUT), sin tener en cuenta el dígito de verificación, así:</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tbl>
      <w:tblPr>
        <w:tblW w:w="0" w:type="auto"/>
        <w:tblInd w:w="284" w:type="dxa"/>
        <w:tblCellMar>
          <w:left w:w="0" w:type="dxa"/>
          <w:right w:w="0" w:type="dxa"/>
        </w:tblCellMar>
        <w:tblLook w:val="04A0" w:firstRow="1" w:lastRow="0" w:firstColumn="1" w:lastColumn="0" w:noHBand="0" w:noVBand="1"/>
      </w:tblPr>
      <w:tblGrid>
        <w:gridCol w:w="1424"/>
        <w:gridCol w:w="2307"/>
        <w:gridCol w:w="2472"/>
        <w:gridCol w:w="2518"/>
      </w:tblGrid>
      <w:tr w:rsidR="00716A94" w:rsidRPr="009025BB" w:rsidTr="009025BB">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Si el último dígito 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Mes de enero año 2014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Mes de febrero año 2014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Mes de marzo año 2014 hasta el día</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11 de febrero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11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8 de abril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12 de febrero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12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9 de abril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13 de febrero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13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10 de abril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14 de febrero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14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11 de abril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17 de febrero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17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14 de abril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18 de febrero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18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15 de abril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19 de febrero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19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21 de abril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20 de febrero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20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22 de abril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21 de febrero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21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23 de abril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24 de febrero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25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24 de abril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Si el último dígito 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Mes de abril año 2014 hasta el día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Mes de mayo año 2014 hasta el día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Mes de junio año 2014 hasta el día</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lastRenderedPageBreak/>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9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10 de junio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8 de julio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12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11 de junio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9 de julio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13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12 de junio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10 de julio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14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13 de junio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11 de julio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15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16 de junio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14 de julio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16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17 de junio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15 de julio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19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18 de junio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16 de julio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20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19 de junio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17 de julio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21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20 de junio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18 de julio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22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24 de junio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21 de julio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Si el último dígito 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Mes de julio año 2014 hasta el día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Mes de agosto año 2014 hasta el día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Mes de septiembre año 2014 hasta el día</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12 de agosto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8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8 de octubre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13 de agosto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9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9 de octubre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14 de agosto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10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10 de octubre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15 de agosto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11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14 de octubre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19 de agosto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12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15 de octubre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20 de agosto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15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16 de octubre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21 de agosto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16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17 de octubre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22 de agosto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17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20 de octubre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25 de agosto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18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21 de octubre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26 de agosto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19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22 de octubre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Si el último dígito 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Mes de octubre año 2014 hasta el día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Mes de noviembre año 2014 hasta el día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Mes de diciembre año 2014 hasta el día</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11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10 de diciembre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14 de enero de 2015</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12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11 de diciembre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15 de enero de 2015</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13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12 de diciembre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16 de enero de 2015</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14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15 de diciembre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19 de enero de 2015</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18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16 de diciembre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20 de enero de 2015</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19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17 de diciembre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21 de enero de 2015</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20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18 de diciembre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22 de enero de 2015</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21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19 de diciembre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23 de enero de 2015</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24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22 de diciembre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26 de enero de 2015</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25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23 de diciembre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rPr>
                <w:rFonts w:ascii="Arial" w:eastAsia="Times New Roman" w:hAnsi="Arial" w:cs="Arial"/>
                <w:szCs w:val="24"/>
                <w:lang w:eastAsia="es-CO"/>
              </w:rPr>
            </w:pPr>
            <w:r w:rsidRPr="009025BB">
              <w:rPr>
                <w:rFonts w:ascii="Segoe UI" w:eastAsia="Times New Roman" w:hAnsi="Segoe UI" w:cs="Segoe UI"/>
                <w:sz w:val="20"/>
                <w:szCs w:val="20"/>
                <w:lang w:eastAsia="es-CO"/>
              </w:rPr>
              <w:t>27 de enero de 2015</w:t>
            </w:r>
          </w:p>
        </w:tc>
      </w:tr>
    </w:tbl>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b/>
          <w:bCs/>
          <w:sz w:val="22"/>
          <w:lang w:eastAsia="es-CO"/>
        </w:rPr>
        <w:t>Parágrafo 1°.</w:t>
      </w:r>
      <w:r w:rsidRPr="009025BB">
        <w:rPr>
          <w:rFonts w:ascii="Segoe UI" w:eastAsia="Times New Roman" w:hAnsi="Segoe UI" w:cs="Segoe UI"/>
          <w:sz w:val="22"/>
          <w:lang w:eastAsia="es-CO"/>
        </w:rPr>
        <w:t xml:space="preserve"> Cuando el agente retenedor, incluidas las Empresas Industriales y Comerciales del Estado y las Sociedades de Economía Mixta, tengan agencias o sucursales, deberá presentar la declaración mensual de retenciones en forma </w:t>
      </w:r>
      <w:r w:rsidRPr="009025BB">
        <w:rPr>
          <w:rFonts w:ascii="Segoe UI" w:eastAsia="Times New Roman" w:hAnsi="Segoe UI" w:cs="Segoe UI"/>
          <w:sz w:val="22"/>
          <w:lang w:eastAsia="es-CO"/>
        </w:rPr>
        <w:lastRenderedPageBreak/>
        <w:t>consolidada, pero podrá efectuar los pagos correspondientes por agencia o sucursal en los bancos y demás entidades autorizadas para recaudar ubicados en el territorio nacional.</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22"/>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b/>
          <w:bCs/>
          <w:sz w:val="22"/>
          <w:lang w:eastAsia="es-CO"/>
        </w:rPr>
        <w:t>Parágrafo 2°.</w:t>
      </w:r>
      <w:r w:rsidRPr="009025BB">
        <w:rPr>
          <w:rFonts w:ascii="Segoe UI" w:eastAsia="Times New Roman" w:hAnsi="Segoe UI" w:cs="Segoe UI"/>
          <w:sz w:val="22"/>
          <w:lang w:eastAsia="es-CO"/>
        </w:rPr>
        <w:t> Cuando se trate de Entidades de Derecho Público, diferentes de las Empresas Industriales y Comerciales del Estado y de las Sociedades de Economía Mixta, se podrá presentar una declaración de retención y efectuar el pago respectivo por cada oficina retenedora.</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22"/>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b/>
          <w:bCs/>
          <w:sz w:val="22"/>
          <w:lang w:eastAsia="es-CO"/>
        </w:rPr>
        <w:t>Parágrafo 3°.</w:t>
      </w:r>
      <w:r w:rsidRPr="009025BB">
        <w:rPr>
          <w:rFonts w:ascii="Segoe UI" w:eastAsia="Times New Roman" w:hAnsi="Segoe UI" w:cs="Segoe UI"/>
          <w:sz w:val="22"/>
          <w:lang w:eastAsia="es-CO"/>
        </w:rPr>
        <w:t> Las Oficinas de Tránsito deben presentar declaración mensual de retención en la fuente en la cual consoliden el valor de las retenciones recaudadas durante el respectivo mes, por traspaso de vehículos, junto con las retenciones que hubieren efectuado por otros conceptos.</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22"/>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b/>
          <w:bCs/>
          <w:sz w:val="22"/>
          <w:lang w:eastAsia="es-CO"/>
        </w:rPr>
        <w:t>Parágrafo 4°.</w:t>
      </w:r>
      <w:r w:rsidRPr="009025BB">
        <w:rPr>
          <w:rFonts w:ascii="Segoe UI" w:eastAsia="Times New Roman" w:hAnsi="Segoe UI" w:cs="Segoe UI"/>
          <w:sz w:val="22"/>
          <w:lang w:eastAsia="es-CO"/>
        </w:rPr>
        <w:t> Las declaraciones de retención en la fuente presentadas sin pago total no producirán efecto legal alguno, sin necesidad de acto administrativo que así lo declare.</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22"/>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22"/>
          <w:lang w:eastAsia="es-CO"/>
        </w:rPr>
        <w:t>Lo señalado en el inciso anterior no se aplicará cuando la declaración de retención en la fuente se presente sin pago por parte de un agente retenedor que sea titular de un saldo a favor igual o superior a ochenta y dos mil (82.000) UVT ($2.253.770.000) susceptible de compensar con el saldo a pagar de la respectiva declaración de retención en la fuente. Para tal efecto el saldo a favor debe haberse generado antes de la presentación de la declaración de retención en la fuente por un valor igual o superior al saldo a pagar determinado en dicha declaración.</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22"/>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22"/>
          <w:lang w:eastAsia="es-CO"/>
        </w:rPr>
        <w:t>El agente retenedor deberá solicitar a la Unidad Administrativa Especial – Dirección de Impuestos y Aduanas Nacionales (DIAN), la compensación del saldo a favor con el saldo a pagar determinado en la declaración de retención, dentro de los seis meses (6) siguientes a la presentación de la respectiva declaración de retención en la fuente.</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18"/>
          <w:szCs w:val="18"/>
          <w:lang w:eastAsia="es-CO"/>
        </w:rPr>
        <w:t>Cuando el agente retenedor no solicite la compensación del saldo a favor oportunamente o cuando la solicitud sea rechazada la declaración de retención en la fuente presentada sin pago no producirá efecto legal alguno, sin necesidad de acto administrativo que así lo declare.</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22"/>
          <w:lang w:eastAsia="es-CO"/>
        </w:rPr>
        <w:t>Sin perjuicio de lo anterior, la declaración de retención presentada sin pago total antes del vencimiento del plazo para declarar producirá efectos legales siempre y cuando el pago de la retención se efectúe o se haya efectuado dentro de los plazos señalados en este artículo.</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22"/>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b/>
          <w:bCs/>
          <w:sz w:val="22"/>
          <w:lang w:eastAsia="es-CO"/>
        </w:rPr>
        <w:t>Parágrafo 5°.</w:t>
      </w:r>
      <w:r w:rsidRPr="009025BB">
        <w:rPr>
          <w:rFonts w:ascii="Segoe UI" w:eastAsia="Times New Roman" w:hAnsi="Segoe UI" w:cs="Segoe UI"/>
          <w:sz w:val="22"/>
          <w:lang w:eastAsia="es-CO"/>
        </w:rPr>
        <w:t> La presentación de la declaración de que trata este artículo no será obligatoria en los períodos en los cuales no se hayan realizado operaciones sujetas a retención en la fuente.</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ind w:left="284"/>
        <w:rPr>
          <w:rFonts w:ascii="Arial" w:eastAsia="Times New Roman" w:hAnsi="Arial" w:cs="Arial"/>
          <w:b/>
          <w:sz w:val="18"/>
          <w:szCs w:val="18"/>
          <w:lang w:eastAsia="es-CO"/>
        </w:rPr>
      </w:pPr>
      <w:r w:rsidRPr="009025BB">
        <w:rPr>
          <w:rFonts w:ascii="Segoe UI" w:eastAsia="Times New Roman" w:hAnsi="Segoe UI" w:cs="Segoe UI"/>
          <w:b/>
          <w:bCs/>
          <w:sz w:val="18"/>
          <w:szCs w:val="18"/>
          <w:lang w:eastAsia="es-CO"/>
        </w:rPr>
        <w:t>Parágrafo 6°.</w:t>
      </w:r>
      <w:r w:rsidRPr="009025BB">
        <w:rPr>
          <w:rFonts w:ascii="Segoe UI" w:eastAsia="Times New Roman" w:hAnsi="Segoe UI" w:cs="Segoe UI"/>
          <w:sz w:val="18"/>
          <w:szCs w:val="18"/>
          <w:lang w:eastAsia="es-CO"/>
        </w:rPr>
        <w:t> </w:t>
      </w:r>
      <w:r w:rsidRPr="009025BB">
        <w:rPr>
          <w:rFonts w:ascii="Segoe UI" w:eastAsia="Times New Roman" w:hAnsi="Segoe UI" w:cs="Segoe UI"/>
          <w:b/>
          <w:sz w:val="18"/>
          <w:szCs w:val="18"/>
          <w:lang w:eastAsia="es-CO"/>
        </w:rPr>
        <w:t xml:space="preserve">Para los agentes retenedores que tengan más de cien (100) sucursales o agencias que practiquen retención en la fuente y a quienes se les autorizó el plazo especial de </w:t>
      </w:r>
      <w:proofErr w:type="spellStart"/>
      <w:r w:rsidRPr="009025BB">
        <w:rPr>
          <w:rFonts w:ascii="Segoe UI" w:eastAsia="Times New Roman" w:hAnsi="Segoe UI" w:cs="Segoe UI"/>
          <w:b/>
          <w:sz w:val="18"/>
          <w:szCs w:val="18"/>
          <w:lang w:eastAsia="es-CO"/>
        </w:rPr>
        <w:t>que</w:t>
      </w:r>
      <w:proofErr w:type="spellEnd"/>
      <w:r w:rsidRPr="009025BB">
        <w:rPr>
          <w:rFonts w:ascii="Segoe UI" w:eastAsia="Times New Roman" w:hAnsi="Segoe UI" w:cs="Segoe UI"/>
          <w:b/>
          <w:sz w:val="18"/>
          <w:szCs w:val="18"/>
          <w:lang w:eastAsia="es-CO"/>
        </w:rPr>
        <w:t xml:space="preserve"> trata el parágrafo 5° del artículo 24 del Decreto 2634 de 2012, los plazos para presentar la declaración y cancelar el valor a pagar vencerán en las siguientes fechas:</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tbl>
      <w:tblPr>
        <w:tblW w:w="0" w:type="auto"/>
        <w:tblInd w:w="284" w:type="dxa"/>
        <w:tblCellMar>
          <w:left w:w="0" w:type="dxa"/>
          <w:right w:w="0" w:type="dxa"/>
        </w:tblCellMar>
        <w:tblLook w:val="04A0" w:firstRow="1" w:lastRow="0" w:firstColumn="1" w:lastColumn="0" w:noHBand="0" w:noVBand="1"/>
      </w:tblPr>
      <w:tblGrid>
        <w:gridCol w:w="2757"/>
        <w:gridCol w:w="2959"/>
        <w:gridCol w:w="3005"/>
      </w:tblGrid>
      <w:tr w:rsidR="00716A94" w:rsidRPr="009025BB" w:rsidTr="009025BB">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Mes de enero año 2014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Mes de febrero año 2014 hasta el día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Mes de marzo año 2014 hasta el día</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25 de febrero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25 de marzo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25 de abril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Mes de abril año 2014 hasta el día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Mes de mayo año 2014 hasta el día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Mes de junio año 2014 hasta el día</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26 de mayo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25 de junio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25 de julio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 xml:space="preserve">Mes de julio año 2014 </w:t>
            </w:r>
            <w:r w:rsidRPr="009025BB">
              <w:rPr>
                <w:rFonts w:ascii="Segoe UI" w:eastAsia="Times New Roman" w:hAnsi="Segoe UI" w:cs="Segoe UI"/>
                <w:b/>
                <w:bCs/>
                <w:sz w:val="20"/>
                <w:szCs w:val="20"/>
                <w:lang w:eastAsia="es-CO"/>
              </w:rPr>
              <w:lastRenderedPageBreak/>
              <w:t>hasta el día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lastRenderedPageBreak/>
              <w:t xml:space="preserve">Mes de agosto año 2014 </w:t>
            </w:r>
            <w:r w:rsidRPr="009025BB">
              <w:rPr>
                <w:rFonts w:ascii="Segoe UI" w:eastAsia="Times New Roman" w:hAnsi="Segoe UI" w:cs="Segoe UI"/>
                <w:b/>
                <w:bCs/>
                <w:sz w:val="20"/>
                <w:szCs w:val="20"/>
                <w:lang w:eastAsia="es-CO"/>
              </w:rPr>
              <w:lastRenderedPageBreak/>
              <w:t>hasta el día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lastRenderedPageBreak/>
              <w:t xml:space="preserve">Mes de septiembre año 2014 </w:t>
            </w:r>
            <w:r w:rsidRPr="009025BB">
              <w:rPr>
                <w:rFonts w:ascii="Segoe UI" w:eastAsia="Times New Roman" w:hAnsi="Segoe UI" w:cs="Segoe UI"/>
                <w:b/>
                <w:bCs/>
                <w:sz w:val="20"/>
                <w:szCs w:val="20"/>
                <w:lang w:eastAsia="es-CO"/>
              </w:rPr>
              <w:lastRenderedPageBreak/>
              <w:t>hasta el día</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lastRenderedPageBreak/>
              <w:t>25 de agosto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25 de septiembre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25 de octubre de 2014</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Mes de octubre año 2014 hasta el día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Mes de noviembre año 2014 hasta el día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b/>
                <w:bCs/>
                <w:sz w:val="20"/>
                <w:szCs w:val="20"/>
                <w:lang w:eastAsia="es-CO"/>
              </w:rPr>
              <w:t>Mes de diciembre año 2014 hasta el día</w:t>
            </w:r>
          </w:p>
        </w:tc>
      </w:tr>
      <w:tr w:rsidR="00716A94" w:rsidRPr="009025BB" w:rsidTr="009025B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25 de noviembre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26 de diciembre de 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9025BB" w:rsidRPr="009025BB" w:rsidRDefault="009025BB" w:rsidP="009025BB">
            <w:pPr>
              <w:spacing w:line="240" w:lineRule="auto"/>
              <w:jc w:val="center"/>
              <w:rPr>
                <w:rFonts w:ascii="Arial" w:eastAsia="Times New Roman" w:hAnsi="Arial" w:cs="Arial"/>
                <w:szCs w:val="24"/>
                <w:lang w:eastAsia="es-CO"/>
              </w:rPr>
            </w:pPr>
            <w:r w:rsidRPr="009025BB">
              <w:rPr>
                <w:rFonts w:ascii="Segoe UI" w:eastAsia="Times New Roman" w:hAnsi="Segoe UI" w:cs="Segoe UI"/>
                <w:sz w:val="20"/>
                <w:szCs w:val="20"/>
                <w:lang w:eastAsia="es-CO"/>
              </w:rPr>
              <w:t>26 de enero de 2015</w:t>
            </w:r>
          </w:p>
        </w:tc>
      </w:tr>
    </w:tbl>
    <w:p w:rsidR="009025BB" w:rsidRPr="009025BB" w:rsidRDefault="009025BB" w:rsidP="009025BB">
      <w:pPr>
        <w:spacing w:line="240" w:lineRule="auto"/>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rPr>
          <w:rFonts w:ascii="Arial" w:eastAsia="Times New Roman" w:hAnsi="Arial" w:cs="Arial"/>
          <w:sz w:val="18"/>
          <w:szCs w:val="18"/>
          <w:lang w:eastAsia="es-CO"/>
        </w:rPr>
      </w:pPr>
      <w:r w:rsidRPr="009025BB">
        <w:rPr>
          <w:rFonts w:ascii="Segoe UI" w:eastAsia="Times New Roman" w:hAnsi="Segoe UI" w:cs="Segoe UI"/>
          <w:sz w:val="18"/>
          <w:szCs w:val="18"/>
          <w:lang w:eastAsia="es-CO"/>
        </w:rPr>
        <w:t> </w:t>
      </w:r>
    </w:p>
    <w:p w:rsidR="009025BB" w:rsidRPr="009025BB" w:rsidRDefault="009025BB" w:rsidP="009025BB">
      <w:pPr>
        <w:spacing w:line="240" w:lineRule="auto"/>
        <w:rPr>
          <w:rFonts w:ascii="Arial" w:eastAsia="Times New Roman" w:hAnsi="Arial" w:cs="Arial"/>
          <w:sz w:val="18"/>
          <w:szCs w:val="18"/>
          <w:lang w:eastAsia="es-CO"/>
        </w:rPr>
      </w:pPr>
      <w:r w:rsidRPr="009025BB">
        <w:rPr>
          <w:rFonts w:ascii="Segoe UI" w:eastAsia="Times New Roman" w:hAnsi="Segoe UI" w:cs="Segoe UI"/>
          <w:b/>
          <w:bCs/>
          <w:sz w:val="22"/>
          <w:lang w:eastAsia="es-CO"/>
        </w:rPr>
        <w:t>Artículo 6°.</w:t>
      </w:r>
      <w:r w:rsidRPr="009025BB">
        <w:rPr>
          <w:rFonts w:ascii="Segoe UI" w:eastAsia="Times New Roman" w:hAnsi="Segoe UI" w:cs="Segoe UI"/>
          <w:sz w:val="22"/>
          <w:lang w:eastAsia="es-CO"/>
        </w:rPr>
        <w:t> Modifíquese al artículo 51 del Decreto número 2972 de 2013, el cual quedará así:</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22"/>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22"/>
          <w:lang w:eastAsia="es-CO"/>
        </w:rPr>
        <w:t>“</w:t>
      </w:r>
      <w:r w:rsidRPr="009025BB">
        <w:rPr>
          <w:rFonts w:ascii="Segoe UI" w:eastAsia="Times New Roman" w:hAnsi="Segoe UI" w:cs="Segoe UI"/>
          <w:b/>
          <w:bCs/>
          <w:sz w:val="22"/>
          <w:lang w:eastAsia="es-CO"/>
        </w:rPr>
        <w:t>Artículo 51. </w:t>
      </w:r>
      <w:r w:rsidRPr="009025BB">
        <w:rPr>
          <w:rFonts w:ascii="Segoe UI" w:eastAsia="Times New Roman" w:hAnsi="Segoe UI" w:cs="Segoe UI"/>
          <w:b/>
          <w:bCs/>
          <w:i/>
          <w:iCs/>
          <w:sz w:val="22"/>
          <w:lang w:eastAsia="es-CO"/>
        </w:rPr>
        <w:t>Plazos para presentar información. </w:t>
      </w:r>
      <w:r w:rsidRPr="009025BB">
        <w:rPr>
          <w:rFonts w:ascii="Segoe UI" w:eastAsia="Times New Roman" w:hAnsi="Segoe UI" w:cs="Segoe UI"/>
          <w:sz w:val="22"/>
          <w:lang w:eastAsia="es-CO"/>
        </w:rPr>
        <w:t>El plazo para presentar la información a que se refieren los artículos </w:t>
      </w:r>
      <w:hyperlink r:id="rId15" w:tooltip="Estatuto Tributario CETA" w:history="1">
        <w:r w:rsidRPr="009025BB">
          <w:rPr>
            <w:rFonts w:ascii="Segoe UI" w:eastAsia="Times New Roman" w:hAnsi="Segoe UI" w:cs="Segoe UI"/>
            <w:b/>
            <w:sz w:val="22"/>
            <w:lang w:eastAsia="es-CO"/>
          </w:rPr>
          <w:t>624</w:t>
        </w:r>
      </w:hyperlink>
      <w:r w:rsidRPr="009025BB">
        <w:rPr>
          <w:rFonts w:ascii="Segoe UI" w:eastAsia="Times New Roman" w:hAnsi="Segoe UI" w:cs="Segoe UI"/>
          <w:b/>
          <w:sz w:val="22"/>
          <w:lang w:eastAsia="es-CO"/>
        </w:rPr>
        <w:t> y </w:t>
      </w:r>
      <w:hyperlink r:id="rId16" w:tooltip="Estatuto Tributario CETA" w:history="1">
        <w:r w:rsidRPr="009025BB">
          <w:rPr>
            <w:rFonts w:ascii="Segoe UI" w:eastAsia="Times New Roman" w:hAnsi="Segoe UI" w:cs="Segoe UI"/>
            <w:b/>
            <w:sz w:val="22"/>
            <w:lang w:eastAsia="es-CO"/>
          </w:rPr>
          <w:t>625</w:t>
        </w:r>
      </w:hyperlink>
      <w:r w:rsidRPr="009025BB">
        <w:rPr>
          <w:rFonts w:ascii="Segoe UI" w:eastAsia="Times New Roman" w:hAnsi="Segoe UI" w:cs="Segoe UI"/>
          <w:sz w:val="22"/>
          <w:lang w:eastAsia="es-CO"/>
        </w:rPr>
        <w:t> del Estatuto Tributario, correspondientes al año gravable 2013, será hasta el 23 de mayo de 2014.</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22"/>
          <w:lang w:eastAsia="es-CO"/>
        </w:rPr>
        <w:t> </w:t>
      </w:r>
    </w:p>
    <w:p w:rsidR="009025BB" w:rsidRPr="009025BB" w:rsidRDefault="009025BB" w:rsidP="009025BB">
      <w:pPr>
        <w:spacing w:line="240" w:lineRule="auto"/>
        <w:ind w:left="284"/>
        <w:rPr>
          <w:rFonts w:ascii="Arial" w:eastAsia="Times New Roman" w:hAnsi="Arial" w:cs="Arial"/>
          <w:b/>
          <w:sz w:val="18"/>
          <w:szCs w:val="18"/>
          <w:lang w:eastAsia="es-CO"/>
        </w:rPr>
      </w:pPr>
      <w:r w:rsidRPr="009025BB">
        <w:rPr>
          <w:rFonts w:ascii="Segoe UI" w:eastAsia="Times New Roman" w:hAnsi="Segoe UI" w:cs="Segoe UI"/>
          <w:sz w:val="22"/>
          <w:lang w:eastAsia="es-CO"/>
        </w:rPr>
        <w:t xml:space="preserve">El plazo para presentar a la Unidad Administrativa Especial Dirección de Impuestos y Aduanas Nacionales DIAN, para efecto de control tributario, la información de los Grupos Económicos y/o Empresariales, inscritos en el Registro Mercantil de las Cámaras de Comercio vence </w:t>
      </w:r>
      <w:r w:rsidRPr="009025BB">
        <w:rPr>
          <w:rFonts w:ascii="Segoe UI" w:eastAsia="Times New Roman" w:hAnsi="Segoe UI" w:cs="Segoe UI"/>
          <w:b/>
          <w:sz w:val="22"/>
          <w:lang w:eastAsia="es-CO"/>
        </w:rPr>
        <w:t>el 30 de junio de 2014.</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22"/>
          <w:lang w:eastAsia="es-CO"/>
        </w:rPr>
        <w:t> </w:t>
      </w:r>
    </w:p>
    <w:p w:rsidR="009025BB" w:rsidRPr="009025BB" w:rsidRDefault="009025BB" w:rsidP="009025BB">
      <w:pPr>
        <w:spacing w:line="240" w:lineRule="auto"/>
        <w:ind w:left="284"/>
        <w:rPr>
          <w:rFonts w:ascii="Arial" w:eastAsia="Times New Roman" w:hAnsi="Arial" w:cs="Arial"/>
          <w:sz w:val="18"/>
          <w:szCs w:val="18"/>
          <w:lang w:eastAsia="es-CO"/>
        </w:rPr>
      </w:pPr>
      <w:r w:rsidRPr="009025BB">
        <w:rPr>
          <w:rFonts w:ascii="Segoe UI" w:eastAsia="Times New Roman" w:hAnsi="Segoe UI" w:cs="Segoe UI"/>
          <w:sz w:val="22"/>
          <w:lang w:eastAsia="es-CO"/>
        </w:rPr>
        <w:t>La información de que trata el presente artículo debe ser entregada, de acuerdo con las condiciones y características técnicas establecidas por la Unidad Administrativa Especial Dirección de Impuestos y Aduanas Nacionales (DIAN)”.</w:t>
      </w:r>
    </w:p>
    <w:p w:rsidR="009025BB" w:rsidRPr="009025BB" w:rsidRDefault="009025BB" w:rsidP="009025BB">
      <w:pPr>
        <w:spacing w:line="240" w:lineRule="auto"/>
        <w:rPr>
          <w:rFonts w:ascii="Arial" w:eastAsia="Times New Roman" w:hAnsi="Arial" w:cs="Arial"/>
          <w:sz w:val="18"/>
          <w:szCs w:val="18"/>
          <w:lang w:eastAsia="es-CO"/>
        </w:rPr>
      </w:pPr>
      <w:r w:rsidRPr="009025BB">
        <w:rPr>
          <w:rFonts w:ascii="Segoe UI" w:eastAsia="Times New Roman" w:hAnsi="Segoe UI" w:cs="Segoe UI"/>
          <w:sz w:val="22"/>
          <w:lang w:eastAsia="es-CO"/>
        </w:rPr>
        <w:t> </w:t>
      </w:r>
    </w:p>
    <w:p w:rsidR="009025BB" w:rsidRPr="009025BB" w:rsidRDefault="009025BB" w:rsidP="009025BB">
      <w:pPr>
        <w:spacing w:line="240" w:lineRule="auto"/>
        <w:rPr>
          <w:rFonts w:ascii="Arial" w:eastAsia="Times New Roman" w:hAnsi="Arial" w:cs="Arial"/>
          <w:sz w:val="18"/>
          <w:szCs w:val="18"/>
          <w:lang w:eastAsia="es-CO"/>
        </w:rPr>
      </w:pPr>
      <w:r w:rsidRPr="009025BB">
        <w:rPr>
          <w:rFonts w:ascii="Segoe UI" w:eastAsia="Times New Roman" w:hAnsi="Segoe UI" w:cs="Segoe UI"/>
          <w:b/>
          <w:bCs/>
          <w:sz w:val="22"/>
          <w:lang w:eastAsia="es-CO"/>
        </w:rPr>
        <w:t>Artículo 7°.</w:t>
      </w:r>
      <w:r w:rsidRPr="009025BB">
        <w:rPr>
          <w:rFonts w:ascii="Segoe UI" w:eastAsia="Times New Roman" w:hAnsi="Segoe UI" w:cs="Segoe UI"/>
          <w:sz w:val="22"/>
          <w:lang w:eastAsia="es-CO"/>
        </w:rPr>
        <w:t> </w:t>
      </w:r>
      <w:r w:rsidRPr="009025BB">
        <w:rPr>
          <w:rFonts w:ascii="Segoe UI" w:eastAsia="Times New Roman" w:hAnsi="Segoe UI" w:cs="Segoe UI"/>
          <w:i/>
          <w:iCs/>
          <w:sz w:val="22"/>
          <w:lang w:eastAsia="es-CO"/>
        </w:rPr>
        <w:t>Vigencia y derogatorias. </w:t>
      </w:r>
      <w:r w:rsidRPr="009025BB">
        <w:rPr>
          <w:rFonts w:ascii="Segoe UI" w:eastAsia="Times New Roman" w:hAnsi="Segoe UI" w:cs="Segoe UI"/>
          <w:sz w:val="22"/>
          <w:lang w:eastAsia="es-CO"/>
        </w:rPr>
        <w:t>El presente decreto rige a partir de la fecha de su publicación y deroga las normas que le sean contrarias.</w:t>
      </w:r>
    </w:p>
    <w:p w:rsidR="009025BB" w:rsidRPr="009025BB" w:rsidRDefault="009025BB" w:rsidP="009025BB">
      <w:pPr>
        <w:spacing w:line="240" w:lineRule="auto"/>
        <w:rPr>
          <w:rFonts w:ascii="Arial" w:eastAsia="Times New Roman" w:hAnsi="Arial" w:cs="Arial"/>
          <w:sz w:val="18"/>
          <w:szCs w:val="18"/>
          <w:lang w:eastAsia="es-CO"/>
        </w:rPr>
      </w:pPr>
      <w:r w:rsidRPr="009025BB">
        <w:rPr>
          <w:rFonts w:ascii="Segoe UI" w:eastAsia="Times New Roman" w:hAnsi="Segoe UI" w:cs="Segoe UI"/>
          <w:sz w:val="22"/>
          <w:lang w:eastAsia="es-CO"/>
        </w:rPr>
        <w:t> </w:t>
      </w:r>
    </w:p>
    <w:p w:rsidR="009025BB" w:rsidRPr="009025BB" w:rsidRDefault="009025BB" w:rsidP="009025BB">
      <w:pPr>
        <w:spacing w:line="240" w:lineRule="auto"/>
        <w:rPr>
          <w:rFonts w:ascii="Arial" w:eastAsia="Times New Roman" w:hAnsi="Arial" w:cs="Arial"/>
          <w:sz w:val="18"/>
          <w:szCs w:val="18"/>
          <w:lang w:eastAsia="es-CO"/>
        </w:rPr>
      </w:pPr>
      <w:r w:rsidRPr="009025BB">
        <w:rPr>
          <w:rFonts w:ascii="Segoe UI" w:eastAsia="Times New Roman" w:hAnsi="Segoe UI" w:cs="Segoe UI"/>
          <w:b/>
          <w:bCs/>
          <w:sz w:val="22"/>
          <w:lang w:eastAsia="es-CO"/>
        </w:rPr>
        <w:t>Publíquese y cúmplase.</w:t>
      </w:r>
    </w:p>
    <w:p w:rsidR="009025BB" w:rsidRPr="009025BB" w:rsidRDefault="009025BB" w:rsidP="009025BB">
      <w:pPr>
        <w:spacing w:line="240" w:lineRule="auto"/>
        <w:rPr>
          <w:rFonts w:ascii="Arial" w:eastAsia="Times New Roman" w:hAnsi="Arial" w:cs="Arial"/>
          <w:sz w:val="18"/>
          <w:szCs w:val="18"/>
          <w:lang w:eastAsia="es-CO"/>
        </w:rPr>
      </w:pPr>
      <w:r w:rsidRPr="009025BB">
        <w:rPr>
          <w:rFonts w:ascii="Segoe UI" w:eastAsia="Times New Roman" w:hAnsi="Segoe UI" w:cs="Segoe UI"/>
          <w:sz w:val="22"/>
          <w:lang w:eastAsia="es-CO"/>
        </w:rPr>
        <w:t>Dado en Bogotá, D. C., a 10 de febrero de 2014.</w:t>
      </w:r>
    </w:p>
    <w:p w:rsidR="009025BB" w:rsidRPr="009025BB" w:rsidRDefault="009025BB" w:rsidP="009025BB">
      <w:pPr>
        <w:spacing w:line="240" w:lineRule="auto"/>
        <w:jc w:val="right"/>
        <w:rPr>
          <w:rFonts w:ascii="Arial" w:eastAsia="Times New Roman" w:hAnsi="Arial" w:cs="Arial"/>
          <w:sz w:val="18"/>
          <w:szCs w:val="18"/>
          <w:lang w:eastAsia="es-CO"/>
        </w:rPr>
      </w:pPr>
      <w:r w:rsidRPr="009025BB">
        <w:rPr>
          <w:rFonts w:ascii="Segoe UI" w:eastAsia="Times New Roman" w:hAnsi="Segoe UI" w:cs="Segoe UI"/>
          <w:sz w:val="22"/>
          <w:lang w:eastAsia="es-CO"/>
        </w:rPr>
        <w:t> </w:t>
      </w:r>
    </w:p>
    <w:p w:rsidR="009025BB" w:rsidRPr="009025BB" w:rsidRDefault="009025BB" w:rsidP="009025BB">
      <w:pPr>
        <w:spacing w:line="240" w:lineRule="auto"/>
        <w:jc w:val="right"/>
        <w:rPr>
          <w:rFonts w:ascii="Arial" w:eastAsia="Times New Roman" w:hAnsi="Arial" w:cs="Arial"/>
          <w:sz w:val="18"/>
          <w:szCs w:val="18"/>
          <w:lang w:eastAsia="es-CO"/>
        </w:rPr>
      </w:pPr>
      <w:r w:rsidRPr="009025BB">
        <w:rPr>
          <w:rFonts w:ascii="Segoe UI" w:eastAsia="Times New Roman" w:hAnsi="Segoe UI" w:cs="Segoe UI"/>
          <w:sz w:val="22"/>
          <w:lang w:eastAsia="es-CO"/>
        </w:rPr>
        <w:t> </w:t>
      </w:r>
    </w:p>
    <w:p w:rsidR="009025BB" w:rsidRPr="009025BB" w:rsidRDefault="009025BB" w:rsidP="00F57BF2">
      <w:pPr>
        <w:spacing w:line="240" w:lineRule="auto"/>
        <w:rPr>
          <w:rFonts w:ascii="Arial" w:eastAsia="Times New Roman" w:hAnsi="Arial" w:cs="Arial"/>
          <w:sz w:val="18"/>
          <w:szCs w:val="18"/>
          <w:lang w:eastAsia="es-CO"/>
        </w:rPr>
      </w:pPr>
      <w:r w:rsidRPr="009025BB">
        <w:rPr>
          <w:rFonts w:ascii="Segoe UI" w:eastAsia="Times New Roman" w:hAnsi="Segoe UI" w:cs="Segoe UI"/>
          <w:b/>
          <w:bCs/>
          <w:sz w:val="22"/>
          <w:lang w:eastAsia="es-CO"/>
        </w:rPr>
        <w:t>JUAN MANUEL SANTOS CALDERÓN</w:t>
      </w:r>
    </w:p>
    <w:p w:rsidR="009025BB" w:rsidRPr="009025BB" w:rsidRDefault="009025BB" w:rsidP="00F57BF2">
      <w:pPr>
        <w:spacing w:line="240" w:lineRule="auto"/>
        <w:rPr>
          <w:rFonts w:ascii="Arial" w:eastAsia="Times New Roman" w:hAnsi="Arial" w:cs="Arial"/>
          <w:sz w:val="18"/>
          <w:szCs w:val="18"/>
          <w:lang w:eastAsia="es-CO"/>
        </w:rPr>
      </w:pPr>
      <w:r w:rsidRPr="009025BB">
        <w:rPr>
          <w:rFonts w:ascii="Segoe UI" w:eastAsia="Times New Roman" w:hAnsi="Segoe UI" w:cs="Segoe UI"/>
          <w:b/>
          <w:bCs/>
          <w:sz w:val="22"/>
          <w:lang w:eastAsia="es-CO"/>
        </w:rPr>
        <w:t> </w:t>
      </w:r>
    </w:p>
    <w:p w:rsidR="009025BB" w:rsidRPr="009025BB" w:rsidRDefault="009025BB" w:rsidP="00F57BF2">
      <w:pPr>
        <w:spacing w:line="240" w:lineRule="auto"/>
        <w:rPr>
          <w:rFonts w:ascii="Arial" w:eastAsia="Times New Roman" w:hAnsi="Arial" w:cs="Arial"/>
          <w:sz w:val="18"/>
          <w:szCs w:val="18"/>
          <w:lang w:eastAsia="es-CO"/>
        </w:rPr>
      </w:pPr>
      <w:r w:rsidRPr="009025BB">
        <w:rPr>
          <w:rFonts w:ascii="Segoe UI" w:eastAsia="Times New Roman" w:hAnsi="Segoe UI" w:cs="Segoe UI"/>
          <w:b/>
          <w:bCs/>
          <w:sz w:val="22"/>
          <w:lang w:eastAsia="es-CO"/>
        </w:rPr>
        <w:t> </w:t>
      </w:r>
    </w:p>
    <w:p w:rsidR="009025BB" w:rsidRPr="009025BB" w:rsidRDefault="009025BB" w:rsidP="00F57BF2">
      <w:pPr>
        <w:spacing w:line="240" w:lineRule="auto"/>
        <w:rPr>
          <w:rFonts w:ascii="Arial" w:eastAsia="Times New Roman" w:hAnsi="Arial" w:cs="Arial"/>
          <w:sz w:val="18"/>
          <w:szCs w:val="18"/>
          <w:lang w:eastAsia="es-CO"/>
        </w:rPr>
      </w:pPr>
      <w:r w:rsidRPr="009025BB">
        <w:rPr>
          <w:rFonts w:ascii="Segoe UI" w:eastAsia="Times New Roman" w:hAnsi="Segoe UI" w:cs="Segoe UI"/>
          <w:b/>
          <w:bCs/>
          <w:sz w:val="22"/>
          <w:lang w:eastAsia="es-CO"/>
        </w:rPr>
        <w:t>El Ministro de Hacienda y Crédito Público,</w:t>
      </w:r>
    </w:p>
    <w:p w:rsidR="009025BB" w:rsidRPr="009025BB" w:rsidRDefault="009025BB" w:rsidP="00F57BF2">
      <w:pPr>
        <w:spacing w:line="240" w:lineRule="auto"/>
        <w:rPr>
          <w:rFonts w:ascii="Arial" w:eastAsia="Times New Roman" w:hAnsi="Arial" w:cs="Arial"/>
          <w:sz w:val="18"/>
          <w:szCs w:val="18"/>
          <w:lang w:eastAsia="es-CO"/>
        </w:rPr>
      </w:pPr>
      <w:r w:rsidRPr="009025BB">
        <w:rPr>
          <w:rFonts w:ascii="Segoe UI" w:eastAsia="Times New Roman" w:hAnsi="Segoe UI" w:cs="Segoe UI"/>
          <w:b/>
          <w:bCs/>
          <w:i/>
          <w:iCs/>
          <w:sz w:val="18"/>
          <w:szCs w:val="18"/>
          <w:lang w:eastAsia="es-CO"/>
        </w:rPr>
        <w:t> </w:t>
      </w:r>
    </w:p>
    <w:p w:rsidR="009025BB" w:rsidRPr="009025BB" w:rsidRDefault="009025BB" w:rsidP="00F57BF2">
      <w:pPr>
        <w:spacing w:line="240" w:lineRule="auto"/>
        <w:rPr>
          <w:rFonts w:ascii="Arial" w:eastAsia="Times New Roman" w:hAnsi="Arial" w:cs="Arial"/>
          <w:sz w:val="18"/>
          <w:szCs w:val="18"/>
          <w:lang w:eastAsia="es-CO"/>
        </w:rPr>
      </w:pPr>
      <w:r w:rsidRPr="009025BB">
        <w:rPr>
          <w:rFonts w:ascii="Segoe UI" w:eastAsia="Times New Roman" w:hAnsi="Segoe UI" w:cs="Segoe UI"/>
          <w:i/>
          <w:iCs/>
          <w:sz w:val="18"/>
          <w:szCs w:val="18"/>
          <w:lang w:eastAsia="es-CO"/>
        </w:rPr>
        <w:t>Mauricio Cárdenas Santamaría.</w:t>
      </w:r>
    </w:p>
    <w:p w:rsidR="009025BB" w:rsidRPr="009025BB" w:rsidRDefault="009025BB" w:rsidP="00F57BF2">
      <w:pPr>
        <w:spacing w:line="240" w:lineRule="auto"/>
        <w:rPr>
          <w:rFonts w:ascii="Arial" w:eastAsia="Times New Roman" w:hAnsi="Arial" w:cs="Arial"/>
          <w:sz w:val="18"/>
          <w:szCs w:val="18"/>
          <w:lang w:eastAsia="es-CO"/>
        </w:rPr>
      </w:pPr>
      <w:r w:rsidRPr="009025BB">
        <w:rPr>
          <w:rFonts w:ascii="Segoe UI" w:eastAsia="Times New Roman" w:hAnsi="Segoe UI" w:cs="Segoe UI"/>
          <w:i/>
          <w:iCs/>
          <w:sz w:val="18"/>
          <w:szCs w:val="18"/>
          <w:lang w:eastAsia="es-CO"/>
        </w:rPr>
        <w:t> </w:t>
      </w:r>
      <w:bookmarkStart w:id="0" w:name="_GoBack"/>
      <w:bookmarkEnd w:id="0"/>
    </w:p>
    <w:p w:rsidR="009025BB" w:rsidRPr="009025BB" w:rsidRDefault="009025BB" w:rsidP="00F57BF2">
      <w:pPr>
        <w:spacing w:line="240" w:lineRule="auto"/>
        <w:rPr>
          <w:rFonts w:ascii="Arial" w:eastAsia="Times New Roman" w:hAnsi="Arial" w:cs="Arial"/>
          <w:sz w:val="18"/>
          <w:szCs w:val="18"/>
          <w:lang w:eastAsia="es-CO"/>
        </w:rPr>
      </w:pPr>
      <w:r w:rsidRPr="009025BB">
        <w:rPr>
          <w:rFonts w:ascii="Segoe UI" w:eastAsia="Times New Roman" w:hAnsi="Segoe UI" w:cs="Segoe UI"/>
          <w:i/>
          <w:iCs/>
          <w:sz w:val="18"/>
          <w:szCs w:val="18"/>
          <w:lang w:eastAsia="es-CO"/>
        </w:rPr>
        <w:t> </w:t>
      </w:r>
    </w:p>
    <w:p w:rsidR="009025BB" w:rsidRPr="009025BB" w:rsidRDefault="009025BB" w:rsidP="00F57BF2">
      <w:pPr>
        <w:spacing w:line="240" w:lineRule="auto"/>
        <w:rPr>
          <w:rFonts w:ascii="Arial" w:eastAsia="Times New Roman" w:hAnsi="Arial" w:cs="Arial"/>
          <w:sz w:val="18"/>
          <w:szCs w:val="18"/>
          <w:lang w:eastAsia="es-CO"/>
        </w:rPr>
      </w:pPr>
      <w:r w:rsidRPr="009025BB">
        <w:rPr>
          <w:rFonts w:ascii="Segoe UI" w:eastAsia="Times New Roman" w:hAnsi="Segoe UI" w:cs="Segoe UI"/>
          <w:b/>
          <w:bCs/>
          <w:sz w:val="20"/>
          <w:szCs w:val="20"/>
          <w:lang w:eastAsia="es-CO"/>
        </w:rPr>
        <w:t>Publicado en D.O. 49.060 del 10 de febrero de 2014.</w:t>
      </w:r>
    </w:p>
    <w:p w:rsidR="00B51D80" w:rsidRPr="00716A94" w:rsidRDefault="00B51D80" w:rsidP="00F57BF2"/>
    <w:sectPr w:rsidR="00B51D80" w:rsidRPr="00716A94"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5BB"/>
    <w:rsid w:val="00101B15"/>
    <w:rsid w:val="00716A94"/>
    <w:rsid w:val="00896D55"/>
    <w:rsid w:val="009025BB"/>
    <w:rsid w:val="00955FA0"/>
    <w:rsid w:val="00A067C7"/>
    <w:rsid w:val="00A67318"/>
    <w:rsid w:val="00B51D80"/>
    <w:rsid w:val="00F57B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9025BB"/>
  </w:style>
  <w:style w:type="character" w:customStyle="1" w:styleId="apple-converted-space">
    <w:name w:val="apple-converted-space"/>
    <w:basedOn w:val="Fuentedeprrafopredeter"/>
    <w:rsid w:val="009025BB"/>
  </w:style>
  <w:style w:type="character" w:styleId="Hipervnculo">
    <w:name w:val="Hyperlink"/>
    <w:basedOn w:val="Fuentedeprrafopredeter"/>
    <w:uiPriority w:val="99"/>
    <w:semiHidden/>
    <w:unhideWhenUsed/>
    <w:rsid w:val="009025BB"/>
    <w:rPr>
      <w:color w:val="0000FF"/>
      <w:u w:val="single"/>
    </w:rPr>
  </w:style>
  <w:style w:type="character" w:styleId="Hipervnculovisitado">
    <w:name w:val="FollowedHyperlink"/>
    <w:basedOn w:val="Fuentedeprrafopredeter"/>
    <w:uiPriority w:val="99"/>
    <w:semiHidden/>
    <w:unhideWhenUsed/>
    <w:rsid w:val="009025BB"/>
    <w:rPr>
      <w:color w:val="800080"/>
      <w:u w:val="single"/>
    </w:rPr>
  </w:style>
  <w:style w:type="character" w:customStyle="1" w:styleId="a6">
    <w:name w:val="a6"/>
    <w:basedOn w:val="Fuentedeprrafopredeter"/>
    <w:rsid w:val="009025BB"/>
  </w:style>
  <w:style w:type="paragraph" w:customStyle="1" w:styleId="pa9">
    <w:name w:val="pa9"/>
    <w:basedOn w:val="Normal"/>
    <w:rsid w:val="009025BB"/>
    <w:pPr>
      <w:spacing w:before="100" w:beforeAutospacing="1" w:after="100" w:afterAutospacing="1" w:line="240" w:lineRule="auto"/>
      <w:jc w:val="left"/>
    </w:pPr>
    <w:rPr>
      <w:rFonts w:eastAsia="Times New Roman"/>
      <w:szCs w:val="24"/>
      <w:lang w:eastAsia="es-CO"/>
    </w:rPr>
  </w:style>
  <w:style w:type="paragraph" w:customStyle="1" w:styleId="pa7">
    <w:name w:val="pa7"/>
    <w:basedOn w:val="Normal"/>
    <w:rsid w:val="009025BB"/>
    <w:pPr>
      <w:spacing w:before="100" w:beforeAutospacing="1" w:after="100" w:afterAutospacing="1" w:line="240" w:lineRule="auto"/>
      <w:jc w:val="left"/>
    </w:pPr>
    <w:rPr>
      <w:rFonts w:eastAsia="Times New Roman"/>
      <w:szCs w:val="24"/>
      <w:lang w:eastAsia="es-CO"/>
    </w:rPr>
  </w:style>
  <w:style w:type="paragraph" w:customStyle="1" w:styleId="pa1">
    <w:name w:val="pa1"/>
    <w:basedOn w:val="Normal"/>
    <w:rsid w:val="009025BB"/>
    <w:pPr>
      <w:spacing w:before="100" w:beforeAutospacing="1" w:after="100" w:afterAutospacing="1" w:line="240" w:lineRule="auto"/>
      <w:jc w:val="left"/>
    </w:pPr>
    <w:rPr>
      <w:rFonts w:eastAsia="Times New Roman"/>
      <w:szCs w:val="24"/>
      <w:lang w:eastAsia="es-CO"/>
    </w:rPr>
  </w:style>
  <w:style w:type="character" w:customStyle="1" w:styleId="a5">
    <w:name w:val="a5"/>
    <w:basedOn w:val="Fuentedeprrafopredeter"/>
    <w:rsid w:val="009025BB"/>
  </w:style>
  <w:style w:type="character" w:styleId="Textoennegrita">
    <w:name w:val="Strong"/>
    <w:basedOn w:val="Fuentedeprrafopredeter"/>
    <w:uiPriority w:val="22"/>
    <w:qFormat/>
    <w:rsid w:val="009025BB"/>
    <w:rPr>
      <w:b/>
      <w:bCs/>
    </w:rPr>
  </w:style>
  <w:style w:type="paragraph" w:customStyle="1" w:styleId="pa20">
    <w:name w:val="pa20"/>
    <w:basedOn w:val="Normal"/>
    <w:rsid w:val="009025BB"/>
    <w:pPr>
      <w:spacing w:before="100" w:beforeAutospacing="1" w:after="100" w:afterAutospacing="1" w:line="240" w:lineRule="auto"/>
      <w:jc w:val="left"/>
    </w:pPr>
    <w:rPr>
      <w:rFonts w:eastAsia="Times New Roman"/>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9025BB"/>
  </w:style>
  <w:style w:type="character" w:customStyle="1" w:styleId="apple-converted-space">
    <w:name w:val="apple-converted-space"/>
    <w:basedOn w:val="Fuentedeprrafopredeter"/>
    <w:rsid w:val="009025BB"/>
  </w:style>
  <w:style w:type="character" w:styleId="Hipervnculo">
    <w:name w:val="Hyperlink"/>
    <w:basedOn w:val="Fuentedeprrafopredeter"/>
    <w:uiPriority w:val="99"/>
    <w:semiHidden/>
    <w:unhideWhenUsed/>
    <w:rsid w:val="009025BB"/>
    <w:rPr>
      <w:color w:val="0000FF"/>
      <w:u w:val="single"/>
    </w:rPr>
  </w:style>
  <w:style w:type="character" w:styleId="Hipervnculovisitado">
    <w:name w:val="FollowedHyperlink"/>
    <w:basedOn w:val="Fuentedeprrafopredeter"/>
    <w:uiPriority w:val="99"/>
    <w:semiHidden/>
    <w:unhideWhenUsed/>
    <w:rsid w:val="009025BB"/>
    <w:rPr>
      <w:color w:val="800080"/>
      <w:u w:val="single"/>
    </w:rPr>
  </w:style>
  <w:style w:type="character" w:customStyle="1" w:styleId="a6">
    <w:name w:val="a6"/>
    <w:basedOn w:val="Fuentedeprrafopredeter"/>
    <w:rsid w:val="009025BB"/>
  </w:style>
  <w:style w:type="paragraph" w:customStyle="1" w:styleId="pa9">
    <w:name w:val="pa9"/>
    <w:basedOn w:val="Normal"/>
    <w:rsid w:val="009025BB"/>
    <w:pPr>
      <w:spacing w:before="100" w:beforeAutospacing="1" w:after="100" w:afterAutospacing="1" w:line="240" w:lineRule="auto"/>
      <w:jc w:val="left"/>
    </w:pPr>
    <w:rPr>
      <w:rFonts w:eastAsia="Times New Roman"/>
      <w:szCs w:val="24"/>
      <w:lang w:eastAsia="es-CO"/>
    </w:rPr>
  </w:style>
  <w:style w:type="paragraph" w:customStyle="1" w:styleId="pa7">
    <w:name w:val="pa7"/>
    <w:basedOn w:val="Normal"/>
    <w:rsid w:val="009025BB"/>
    <w:pPr>
      <w:spacing w:before="100" w:beforeAutospacing="1" w:after="100" w:afterAutospacing="1" w:line="240" w:lineRule="auto"/>
      <w:jc w:val="left"/>
    </w:pPr>
    <w:rPr>
      <w:rFonts w:eastAsia="Times New Roman"/>
      <w:szCs w:val="24"/>
      <w:lang w:eastAsia="es-CO"/>
    </w:rPr>
  </w:style>
  <w:style w:type="paragraph" w:customStyle="1" w:styleId="pa1">
    <w:name w:val="pa1"/>
    <w:basedOn w:val="Normal"/>
    <w:rsid w:val="009025BB"/>
    <w:pPr>
      <w:spacing w:before="100" w:beforeAutospacing="1" w:after="100" w:afterAutospacing="1" w:line="240" w:lineRule="auto"/>
      <w:jc w:val="left"/>
    </w:pPr>
    <w:rPr>
      <w:rFonts w:eastAsia="Times New Roman"/>
      <w:szCs w:val="24"/>
      <w:lang w:eastAsia="es-CO"/>
    </w:rPr>
  </w:style>
  <w:style w:type="character" w:customStyle="1" w:styleId="a5">
    <w:name w:val="a5"/>
    <w:basedOn w:val="Fuentedeprrafopredeter"/>
    <w:rsid w:val="009025BB"/>
  </w:style>
  <w:style w:type="character" w:styleId="Textoennegrita">
    <w:name w:val="Strong"/>
    <w:basedOn w:val="Fuentedeprrafopredeter"/>
    <w:uiPriority w:val="22"/>
    <w:qFormat/>
    <w:rsid w:val="009025BB"/>
    <w:rPr>
      <w:b/>
      <w:bCs/>
    </w:rPr>
  </w:style>
  <w:style w:type="paragraph" w:customStyle="1" w:styleId="pa20">
    <w:name w:val="pa20"/>
    <w:basedOn w:val="Normal"/>
    <w:rsid w:val="009025BB"/>
    <w:pPr>
      <w:spacing w:before="100" w:beforeAutospacing="1" w:after="100" w:afterAutospacing="1" w:line="240" w:lineRule="auto"/>
      <w:jc w:val="left"/>
    </w:pPr>
    <w:rPr>
      <w:rFonts w:eastAsia="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04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597" TargetMode="External"/><Relationship Id="rId13" Type="http://schemas.openxmlformats.org/officeDocument/2006/relationships/hyperlink" Target="http://www.ceta.org.co/html/vista_de_un_articulo.asp?Norma=55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ta.org.co/html/vista_de_un_articulo.asp?Norma=695" TargetMode="External"/><Relationship Id="rId12" Type="http://schemas.openxmlformats.org/officeDocument/2006/relationships/hyperlink" Target="http://www.ceta.org.co/html/vista_de_un_articulo.asp?Norma=461"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eta.org.co/html/vista_de_un_articulo.asp?Norma=776" TargetMode="External"/><Relationship Id="rId1" Type="http://schemas.openxmlformats.org/officeDocument/2006/relationships/styles" Target="styles.xml"/><Relationship Id="rId6" Type="http://schemas.openxmlformats.org/officeDocument/2006/relationships/hyperlink" Target="http://www.ceta.org.co/html/vista_de_un_articulo.asp?Norma=695" TargetMode="External"/><Relationship Id="rId11" Type="http://schemas.openxmlformats.org/officeDocument/2006/relationships/hyperlink" Target="http://www.ceta.org.co/html/vista_de_un_articulo.asp?Norma=460" TargetMode="External"/><Relationship Id="rId5" Type="http://schemas.openxmlformats.org/officeDocument/2006/relationships/hyperlink" Target="http://www.ceta.org.co/html/vista_de_un_articulo.asp?Norma=695" TargetMode="External"/><Relationship Id="rId15" Type="http://schemas.openxmlformats.org/officeDocument/2006/relationships/hyperlink" Target="http://www.ceta.org.co/html/vista_de_un_articulo.asp?Norma=775" TargetMode="External"/><Relationship Id="rId10" Type="http://schemas.openxmlformats.org/officeDocument/2006/relationships/hyperlink" Target="http://www.ceta.org.co/html/vista_de_un_articulo.asp?Norma=459"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601" TargetMode="External"/><Relationship Id="rId14" Type="http://schemas.openxmlformats.org/officeDocument/2006/relationships/hyperlink" Target="http://www.ceta.org.co/html/vista_de_un_articulo.asp?Norma=64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4355</Words>
  <Characters>23953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2014-02-16T21:54:00Z</dcterms:created>
  <dcterms:modified xsi:type="dcterms:W3CDTF">2014-02-16T21:54:00Z</dcterms:modified>
</cp:coreProperties>
</file>